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999D4" w14:textId="0F931A52" w:rsidR="004E1E93" w:rsidRPr="004E1E93" w:rsidRDefault="004E1E93" w:rsidP="004E1E93">
      <w:pPr>
        <w:pStyle w:val="BankNormal"/>
        <w:suppressAutoHyphens/>
        <w:spacing w:after="60"/>
        <w:ind w:left="578" w:hanging="578"/>
        <w:jc w:val="center"/>
        <w:rPr>
          <w:b/>
          <w:sz w:val="36"/>
          <w:szCs w:val="36"/>
          <w:lang w:val="fr-FR"/>
        </w:rPr>
      </w:pPr>
      <w:bookmarkStart w:id="0" w:name="_Hlk222325297"/>
      <w:r w:rsidRPr="004E1E93">
        <w:rPr>
          <w:b/>
          <w:sz w:val="36"/>
          <w:szCs w:val="36"/>
          <w:lang w:val="fr-FR"/>
        </w:rPr>
        <w:t>AVIS APPEL D’OFFRES</w:t>
      </w:r>
    </w:p>
    <w:p w14:paraId="430933FB" w14:textId="77777777" w:rsidR="004E1E93" w:rsidRPr="00715097" w:rsidRDefault="004E1E93" w:rsidP="004E1E93">
      <w:pPr>
        <w:pStyle w:val="BankNormal"/>
        <w:suppressAutoHyphens/>
        <w:spacing w:after="60"/>
        <w:ind w:left="0" w:firstLine="0"/>
        <w:rPr>
          <w:b/>
          <w:sz w:val="28"/>
          <w:szCs w:val="24"/>
          <w:lang w:val="fr-FR"/>
        </w:rPr>
      </w:pPr>
    </w:p>
    <w:bookmarkEnd w:id="0"/>
    <w:p w14:paraId="531BFFF8" w14:textId="77777777" w:rsidR="004E1E93" w:rsidRPr="00715097" w:rsidRDefault="004E1E93" w:rsidP="004E1E93">
      <w:pPr>
        <w:pStyle w:val="BankNormal"/>
        <w:suppressAutoHyphens/>
        <w:spacing w:after="60"/>
        <w:ind w:left="578" w:hanging="578"/>
        <w:rPr>
          <w:bCs/>
          <w:i/>
          <w:iCs/>
          <w:szCs w:val="24"/>
          <w:lang w:val="fr-FR"/>
        </w:rPr>
      </w:pPr>
      <w:r w:rsidRPr="00715097">
        <w:rPr>
          <w:b/>
          <w:szCs w:val="24"/>
          <w:lang w:val="fr-FR"/>
        </w:rPr>
        <w:t xml:space="preserve">Maître d’Ouvrage : </w:t>
      </w:r>
      <w:r w:rsidRPr="00715097">
        <w:rPr>
          <w:i/>
          <w:iCs/>
          <w:szCs w:val="24"/>
          <w:lang w:val="fr-FR"/>
        </w:rPr>
        <w:t>Ministère des Technologies de la Communication</w:t>
      </w:r>
    </w:p>
    <w:p w14:paraId="7437BA7C" w14:textId="77777777" w:rsidR="004E1E93" w:rsidRPr="00715097" w:rsidRDefault="004E1E93" w:rsidP="004E1E93">
      <w:pPr>
        <w:pStyle w:val="BankNormal"/>
        <w:suppressAutoHyphens/>
        <w:spacing w:after="60"/>
        <w:ind w:left="578" w:hanging="578"/>
        <w:rPr>
          <w:i/>
          <w:iCs/>
          <w:szCs w:val="24"/>
          <w:lang w:val="fr-FR"/>
        </w:rPr>
      </w:pPr>
      <w:r w:rsidRPr="00715097">
        <w:rPr>
          <w:b/>
          <w:szCs w:val="24"/>
          <w:lang w:val="fr-FR"/>
        </w:rPr>
        <w:t xml:space="preserve">Pays : </w:t>
      </w:r>
      <w:r w:rsidRPr="00715097">
        <w:rPr>
          <w:i/>
          <w:iCs/>
          <w:szCs w:val="24"/>
          <w:lang w:val="fr-FR"/>
        </w:rPr>
        <w:t>Tunisie</w:t>
      </w:r>
    </w:p>
    <w:p w14:paraId="18FA2EBF" w14:textId="77777777" w:rsidR="004E1E93" w:rsidRPr="00715097" w:rsidRDefault="004E1E93" w:rsidP="004E1E93">
      <w:pPr>
        <w:pStyle w:val="BankNormal"/>
        <w:suppressAutoHyphens/>
        <w:spacing w:after="60"/>
        <w:ind w:left="578" w:hanging="578"/>
        <w:rPr>
          <w:i/>
          <w:iCs/>
          <w:szCs w:val="24"/>
          <w:lang w:val="fr-FR"/>
        </w:rPr>
      </w:pPr>
      <w:r w:rsidRPr="00715097">
        <w:rPr>
          <w:b/>
          <w:szCs w:val="24"/>
          <w:lang w:val="fr-FR"/>
        </w:rPr>
        <w:t xml:space="preserve">Projet : </w:t>
      </w:r>
      <w:r w:rsidRPr="00715097">
        <w:rPr>
          <w:i/>
          <w:iCs/>
          <w:szCs w:val="24"/>
          <w:lang w:val="fr-FR"/>
        </w:rPr>
        <w:t>GovTech – Transformation Digitale Pour Les Services Publics Orientés Usagers</w:t>
      </w:r>
    </w:p>
    <w:p w14:paraId="50E00710" w14:textId="77777777" w:rsidR="004E1E93" w:rsidRPr="00715097" w:rsidRDefault="004E1E93" w:rsidP="004E1E93">
      <w:pPr>
        <w:pStyle w:val="BankNormal"/>
        <w:suppressAutoHyphens/>
        <w:spacing w:after="60"/>
        <w:ind w:left="578" w:hanging="578"/>
        <w:rPr>
          <w:bCs/>
          <w:i/>
          <w:iCs/>
          <w:szCs w:val="24"/>
          <w:lang w:val="fr-FR"/>
        </w:rPr>
      </w:pPr>
      <w:r w:rsidRPr="00715097">
        <w:rPr>
          <w:b/>
          <w:szCs w:val="24"/>
          <w:lang w:val="fr-FR"/>
        </w:rPr>
        <w:t>Titre du Marché : Mise en place et exploitation du réseau étendue (WAN) du Ministère des Affaires Sociales</w:t>
      </w:r>
      <w:r w:rsidRPr="00715097" w:rsidDel="007F6FA0">
        <w:rPr>
          <w:b/>
          <w:szCs w:val="24"/>
          <w:lang w:val="fr-FR"/>
        </w:rPr>
        <w:t xml:space="preserve"> </w:t>
      </w:r>
    </w:p>
    <w:p w14:paraId="3D7BDB10" w14:textId="77777777" w:rsidR="004E1E93" w:rsidRPr="00715097" w:rsidRDefault="004E1E93" w:rsidP="004E1E93">
      <w:pPr>
        <w:pStyle w:val="BankNormal"/>
        <w:suppressAutoHyphens/>
        <w:spacing w:after="60"/>
        <w:ind w:left="578" w:hanging="578"/>
        <w:rPr>
          <w:b/>
          <w:i/>
          <w:iCs/>
          <w:szCs w:val="24"/>
          <w:lang w:val="fr-FR"/>
        </w:rPr>
      </w:pPr>
      <w:r w:rsidRPr="00715097">
        <w:rPr>
          <w:b/>
          <w:szCs w:val="24"/>
          <w:lang w:val="fr-FR"/>
        </w:rPr>
        <w:t xml:space="preserve">Prêt No : </w:t>
      </w:r>
      <w:r w:rsidRPr="00715097">
        <w:rPr>
          <w:i/>
          <w:iCs/>
          <w:szCs w:val="24"/>
          <w:lang w:val="fr-FR"/>
        </w:rPr>
        <w:t>IBRD-89870</w:t>
      </w:r>
    </w:p>
    <w:p w14:paraId="538FBE04" w14:textId="77777777" w:rsidR="004E1E93" w:rsidRPr="00715097" w:rsidRDefault="004E1E93" w:rsidP="004E1E93">
      <w:pPr>
        <w:suppressAutoHyphens/>
        <w:spacing w:after="60"/>
        <w:ind w:left="0" w:firstLine="0"/>
        <w:jc w:val="left"/>
        <w:rPr>
          <w:i/>
          <w:iCs/>
          <w:szCs w:val="24"/>
        </w:rPr>
      </w:pPr>
      <w:r w:rsidRPr="00715097">
        <w:rPr>
          <w:b/>
          <w:szCs w:val="24"/>
        </w:rPr>
        <w:t xml:space="preserve">Appel d’Offres No : </w:t>
      </w:r>
      <w:r w:rsidRPr="00B3750F">
        <w:rPr>
          <w:b/>
          <w:bCs/>
          <w:szCs w:val="24"/>
        </w:rPr>
        <w:t>-MTCTD-540692-NC-RFB</w:t>
      </w:r>
    </w:p>
    <w:p w14:paraId="4C798B0D" w14:textId="70BFE085" w:rsidR="004E1E93" w:rsidRPr="004E1E93" w:rsidRDefault="004E1E93" w:rsidP="004E1E93">
      <w:pPr>
        <w:ind w:left="0" w:firstLine="0"/>
        <w:rPr>
          <w:szCs w:val="24"/>
        </w:rPr>
      </w:pPr>
      <w:r w:rsidRPr="004E1E93">
        <w:rPr>
          <w:b/>
          <w:szCs w:val="24"/>
        </w:rPr>
        <w:t>Emis</w:t>
      </w:r>
      <w:r w:rsidRPr="004E1E93">
        <w:rPr>
          <w:b/>
          <w:bCs/>
          <w:szCs w:val="24"/>
        </w:rPr>
        <w:t xml:space="preserve"> le :</w:t>
      </w:r>
      <w:r w:rsidRPr="004E1E93">
        <w:rPr>
          <w:i/>
          <w:iCs/>
          <w:szCs w:val="24"/>
        </w:rPr>
        <w:t xml:space="preserve"> </w:t>
      </w:r>
      <w:r>
        <w:rPr>
          <w:b/>
          <w:bCs/>
          <w:i/>
          <w:iCs/>
          <w:szCs w:val="24"/>
        </w:rPr>
        <w:t>12</w:t>
      </w:r>
      <w:r w:rsidRPr="004E1E93">
        <w:rPr>
          <w:b/>
          <w:bCs/>
          <w:i/>
          <w:iCs/>
          <w:szCs w:val="24"/>
        </w:rPr>
        <w:t>/0</w:t>
      </w:r>
      <w:r w:rsidRPr="004E1E93">
        <w:rPr>
          <w:b/>
          <w:bCs/>
          <w:i/>
          <w:iCs/>
          <w:szCs w:val="24"/>
        </w:rPr>
        <w:t>6</w:t>
      </w:r>
      <w:r w:rsidRPr="004E1E93">
        <w:rPr>
          <w:b/>
          <w:bCs/>
          <w:i/>
          <w:iCs/>
          <w:szCs w:val="24"/>
        </w:rPr>
        <w:t>/2026</w:t>
      </w:r>
    </w:p>
    <w:p w14:paraId="6DD84544" w14:textId="77777777" w:rsidR="004E1E93" w:rsidRPr="00715097" w:rsidRDefault="004E1E93" w:rsidP="004E1E93">
      <w:pPr>
        <w:pStyle w:val="BankNormal"/>
        <w:numPr>
          <w:ilvl w:val="0"/>
          <w:numId w:val="1"/>
        </w:numPr>
        <w:suppressAutoHyphens/>
        <w:spacing w:after="60"/>
        <w:ind w:left="142" w:hanging="284"/>
        <w:jc w:val="both"/>
        <w:rPr>
          <w:spacing w:val="-3"/>
          <w:lang w:val="fr-FR"/>
        </w:rPr>
      </w:pPr>
      <w:r w:rsidRPr="00715097">
        <w:rPr>
          <w:spacing w:val="-3"/>
          <w:lang w:val="fr-FR"/>
        </w:rPr>
        <w:t xml:space="preserve">Le </w:t>
      </w:r>
      <w:r w:rsidRPr="00715097">
        <w:rPr>
          <w:i/>
          <w:iCs/>
          <w:szCs w:val="24"/>
          <w:lang w:val="fr-FR"/>
        </w:rPr>
        <w:t>Ministère des Technologies de la Communication</w:t>
      </w:r>
      <w:r w:rsidRPr="00715097">
        <w:rPr>
          <w:spacing w:val="-3"/>
          <w:lang w:val="fr-FR"/>
        </w:rPr>
        <w:t xml:space="preserve"> </w:t>
      </w:r>
      <w:r w:rsidRPr="00715097">
        <w:rPr>
          <w:i/>
          <w:iCs/>
          <w:spacing w:val="-3"/>
          <w:lang w:val="fr-FR"/>
        </w:rPr>
        <w:t xml:space="preserve">a obtenu </w:t>
      </w:r>
      <w:r w:rsidRPr="00715097">
        <w:rPr>
          <w:spacing w:val="-3"/>
          <w:lang w:val="fr-FR"/>
        </w:rPr>
        <w:t xml:space="preserve">un financement de la Banque mondiale pour financer le coût du Projet </w:t>
      </w:r>
      <w:r w:rsidRPr="00715097">
        <w:rPr>
          <w:i/>
          <w:iCs/>
          <w:spacing w:val="-3"/>
          <w:lang w:val="fr-FR"/>
        </w:rPr>
        <w:t>[</w:t>
      </w:r>
      <w:r w:rsidRPr="00715097">
        <w:rPr>
          <w:i/>
          <w:iCs/>
          <w:szCs w:val="24"/>
          <w:lang w:val="fr-FR"/>
        </w:rPr>
        <w:t>Transformation Digitale Pour Les Services Publics Orientés Usagers</w:t>
      </w:r>
      <w:r w:rsidRPr="00715097" w:rsidDel="00CA2939">
        <w:rPr>
          <w:i/>
          <w:iCs/>
          <w:spacing w:val="-3"/>
          <w:lang w:val="fr-FR"/>
        </w:rPr>
        <w:t xml:space="preserve"> </w:t>
      </w:r>
      <w:r w:rsidRPr="00715097">
        <w:rPr>
          <w:i/>
          <w:iCs/>
          <w:spacing w:val="-3"/>
          <w:lang w:val="fr-FR"/>
        </w:rPr>
        <w:t>–</w:t>
      </w:r>
      <w:r w:rsidRPr="00715097">
        <w:rPr>
          <w:i/>
          <w:iCs/>
          <w:szCs w:val="24"/>
          <w:lang w:val="fr-FR"/>
        </w:rPr>
        <w:t xml:space="preserve"> GovTech </w:t>
      </w:r>
      <w:r w:rsidRPr="00715097">
        <w:rPr>
          <w:i/>
          <w:iCs/>
          <w:spacing w:val="-3"/>
          <w:lang w:val="fr-FR"/>
        </w:rPr>
        <w:t xml:space="preserve">le nom du projet] </w:t>
      </w:r>
      <w:r w:rsidRPr="00715097">
        <w:rPr>
          <w:spacing w:val="-3"/>
          <w:lang w:val="fr-FR"/>
        </w:rPr>
        <w:t>et a l’intention d’utiliser</w:t>
      </w:r>
      <w:r w:rsidRPr="00715097">
        <w:rPr>
          <w:i/>
          <w:iCs/>
          <w:spacing w:val="-3"/>
          <w:lang w:val="fr-FR"/>
        </w:rPr>
        <w:t xml:space="preserve"> </w:t>
      </w:r>
      <w:r w:rsidRPr="00715097">
        <w:rPr>
          <w:spacing w:val="-3"/>
          <w:lang w:val="fr-FR"/>
        </w:rPr>
        <w:t>une partie de ce financement pour effectuer les paiements prévus au titre du marché « Mise en place et exploitation du réseau étendue (WAN) du Ministère des Affaires Sociales »</w:t>
      </w:r>
      <w:r w:rsidRPr="00715097" w:rsidDel="007F6FA0">
        <w:rPr>
          <w:spacing w:val="-3"/>
          <w:lang w:val="fr-FR"/>
        </w:rPr>
        <w:t xml:space="preserve"> </w:t>
      </w:r>
      <w:r w:rsidRPr="00715097">
        <w:rPr>
          <w:i/>
          <w:iCs/>
          <w:spacing w:val="-3"/>
          <w:lang w:val="fr-FR"/>
        </w:rPr>
        <w:t xml:space="preserve"> </w:t>
      </w:r>
    </w:p>
    <w:p w14:paraId="1CE62FDA" w14:textId="77777777" w:rsidR="004E1E93" w:rsidRPr="00715097" w:rsidRDefault="004E1E93" w:rsidP="004E1E93">
      <w:pPr>
        <w:pStyle w:val="BankNormal"/>
        <w:numPr>
          <w:ilvl w:val="0"/>
          <w:numId w:val="1"/>
        </w:numPr>
        <w:suppressAutoHyphens/>
        <w:spacing w:after="60"/>
        <w:ind w:left="142" w:hanging="284"/>
        <w:jc w:val="both"/>
        <w:rPr>
          <w:lang w:val="fr-FR"/>
        </w:rPr>
      </w:pPr>
      <w:r w:rsidRPr="00715097">
        <w:rPr>
          <w:szCs w:val="24"/>
          <w:lang w:val="fr-FR"/>
        </w:rPr>
        <w:t xml:space="preserve">Le </w:t>
      </w:r>
      <w:r w:rsidRPr="00715097">
        <w:rPr>
          <w:i/>
          <w:iCs/>
          <w:szCs w:val="24"/>
          <w:lang w:val="fr-FR"/>
        </w:rPr>
        <w:t>ministère des technologies de la communication d’agence d’exécution du projet</w:t>
      </w:r>
      <w:r w:rsidRPr="00715097">
        <w:rPr>
          <w:i/>
          <w:iCs/>
          <w:color w:val="000000"/>
          <w:szCs w:val="24"/>
          <w:lang w:val="fr-FR"/>
        </w:rPr>
        <w:t>,</w:t>
      </w:r>
      <w:r w:rsidRPr="00715097">
        <w:rPr>
          <w:color w:val="000000"/>
          <w:szCs w:val="24"/>
          <w:lang w:val="fr-FR"/>
        </w:rPr>
        <w:t xml:space="preserve"> invite les entreprises et/ou les groupements d’entreprises éligibles(autorisées à exercer les activités de télécommunications )selon les dispositions du code des Télécommunications de la République Tunisienne et relatif à la loi n° 2001-1 du 15 janvier 2001 (</w:t>
      </w:r>
      <w:hyperlink r:id="rId5" w:history="1">
        <w:r w:rsidRPr="00715097">
          <w:rPr>
            <w:rStyle w:val="Lienhypertexte"/>
            <w:szCs w:val="24"/>
            <w:lang w:val="fr-FR"/>
          </w:rPr>
          <w:t>http://www.legislation.tn/sites/default/files/codes/telecommunication.pdf</w:t>
        </w:r>
      </w:hyperlink>
      <w:r w:rsidRPr="00715097">
        <w:rPr>
          <w:color w:val="000000"/>
          <w:szCs w:val="24"/>
          <w:lang w:val="fr-FR"/>
        </w:rPr>
        <w:t xml:space="preserve"> ) à présenter leurs offres sous pli fermé de la part de soumissionnaires éligibles pour la fourniture d’un service de connectivité clé en main supporté par les réseaux IP/MPLS niveau 3, privé avec une qualité de service garantie pour les bénéficiaires et de fournir les moyens de supervision et de support.</w:t>
      </w:r>
    </w:p>
    <w:p w14:paraId="45C67245" w14:textId="77777777" w:rsidR="004E1E93" w:rsidRPr="00715097" w:rsidRDefault="004E1E93" w:rsidP="004E1E93">
      <w:pPr>
        <w:suppressAutoHyphens/>
        <w:overflowPunct w:val="0"/>
        <w:autoSpaceDE w:val="0"/>
        <w:autoSpaceDN w:val="0"/>
        <w:adjustRightInd w:val="0"/>
        <w:spacing w:after="0"/>
        <w:textAlignment w:val="baseline"/>
        <w:rPr>
          <w:color w:val="000000"/>
          <w:szCs w:val="24"/>
        </w:rPr>
      </w:pPr>
    </w:p>
    <w:p w14:paraId="691AA41F" w14:textId="77777777" w:rsidR="004E1E93" w:rsidRPr="00715097" w:rsidRDefault="004E1E93" w:rsidP="004E1E93">
      <w:pPr>
        <w:pStyle w:val="BankNormal"/>
        <w:numPr>
          <w:ilvl w:val="0"/>
          <w:numId w:val="1"/>
        </w:numPr>
        <w:suppressAutoHyphens/>
        <w:spacing w:after="60"/>
        <w:ind w:left="142" w:hanging="284"/>
        <w:jc w:val="both"/>
        <w:rPr>
          <w:lang w:val="fr-FR"/>
        </w:rPr>
      </w:pPr>
      <w:r w:rsidRPr="00715097">
        <w:rPr>
          <w:lang w:val="fr-FR"/>
        </w:rPr>
        <w:t xml:space="preserve">La procédure de passation de marchés sera conduite par mise en concurrence internationale par Appel d’Offres tel que défini dans le « Règlement des Passation de Marchés de la Banque mondiale pour les Emprunteur de FPI » </w:t>
      </w:r>
      <w:r w:rsidRPr="00715097">
        <w:rPr>
          <w:i/>
          <w:iCs/>
          <w:lang w:val="fr-FR"/>
        </w:rPr>
        <w:t xml:space="preserve">« Règlement de Passation des marchés pour les Emprunteurs sollicitant le Financement de Projets d’Investissement (FPI) », édition </w:t>
      </w:r>
      <w:r>
        <w:rPr>
          <w:i/>
          <w:iCs/>
          <w:lang w:val="fr-FR"/>
        </w:rPr>
        <w:t>Septembre 2025</w:t>
      </w:r>
      <w:r w:rsidRPr="00715097">
        <w:rPr>
          <w:i/>
          <w:iCs/>
          <w:lang w:val="fr-FR"/>
        </w:rPr>
        <w:t xml:space="preserve"> (« le Règlement de passation des marchés</w:t>
      </w:r>
      <w:r w:rsidRPr="00715097">
        <w:rPr>
          <w:lang w:val="fr-FR"/>
        </w:rPr>
        <w:t xml:space="preserve">), et est ouvert à tous les Soumissionnaires éligibles comme défini dans le Règlement de Passation des Marchés. </w:t>
      </w:r>
    </w:p>
    <w:p w14:paraId="3E17180C" w14:textId="77777777" w:rsidR="004E1E93" w:rsidRPr="00715097" w:rsidRDefault="004E1E93" w:rsidP="004E1E93">
      <w:pPr>
        <w:pStyle w:val="BankNormal"/>
        <w:numPr>
          <w:ilvl w:val="0"/>
          <w:numId w:val="1"/>
        </w:numPr>
        <w:suppressAutoHyphens/>
        <w:spacing w:after="60"/>
        <w:ind w:left="142" w:hanging="284"/>
        <w:jc w:val="both"/>
        <w:rPr>
          <w:spacing w:val="-3"/>
          <w:lang w:val="fr-FR"/>
        </w:rPr>
      </w:pPr>
      <w:r w:rsidRPr="00715097">
        <w:rPr>
          <w:spacing w:val="-3"/>
          <w:lang w:val="fr-FR"/>
        </w:rPr>
        <w:t xml:space="preserve">Les Offres seront évaluées conformément au processus d'évaluation défini dans le dossier d'appel d'offres. Les pondérations suivantes s'appliqueront aux Critères notés (y compris les facteurs techniques et autres que le prix) : </w:t>
      </w:r>
      <w:r w:rsidRPr="00715097">
        <w:rPr>
          <w:b/>
          <w:bCs/>
          <w:i/>
          <w:iCs/>
          <w:spacing w:val="-3"/>
          <w:lang w:val="fr-FR"/>
        </w:rPr>
        <w:t>30 % et pour le coût de l'Offre : 70 %.</w:t>
      </w:r>
    </w:p>
    <w:p w14:paraId="17025596" w14:textId="77777777" w:rsidR="004E1E93" w:rsidRPr="00715097" w:rsidRDefault="004E1E93" w:rsidP="004E1E93">
      <w:pPr>
        <w:pStyle w:val="BankNormal"/>
        <w:numPr>
          <w:ilvl w:val="0"/>
          <w:numId w:val="1"/>
        </w:numPr>
        <w:suppressAutoHyphens/>
        <w:spacing w:after="60"/>
        <w:ind w:left="142" w:hanging="284"/>
        <w:jc w:val="both"/>
        <w:rPr>
          <w:i/>
          <w:iCs/>
          <w:spacing w:val="-3"/>
          <w:lang w:val="fr-FR"/>
        </w:rPr>
      </w:pPr>
      <w:r w:rsidRPr="00715097">
        <w:rPr>
          <w:lang w:val="fr-FR"/>
        </w:rPr>
        <w:t>Les</w:t>
      </w:r>
      <w:r w:rsidRPr="00715097">
        <w:rPr>
          <w:spacing w:val="-3"/>
          <w:lang w:val="fr-FR"/>
        </w:rPr>
        <w:t xml:space="preserve"> Soumissionnaires intéressés et éligibles peuvent obtenir des informations supplémentaires du </w:t>
      </w:r>
      <w:r w:rsidRPr="00715097">
        <w:rPr>
          <w:i/>
          <w:iCs/>
          <w:spacing w:val="-3"/>
          <w:lang w:val="fr-FR"/>
        </w:rPr>
        <w:t xml:space="preserve">Ministère des Technologies de la Communication aux adresses </w:t>
      </w:r>
      <w:proofErr w:type="gramStart"/>
      <w:r w:rsidRPr="00715097">
        <w:rPr>
          <w:i/>
          <w:iCs/>
          <w:spacing w:val="-3"/>
          <w:lang w:val="fr-FR"/>
        </w:rPr>
        <w:t>mail</w:t>
      </w:r>
      <w:proofErr w:type="gramEnd"/>
      <w:r w:rsidRPr="00715097">
        <w:rPr>
          <w:i/>
          <w:iCs/>
          <w:spacing w:val="-3"/>
          <w:lang w:val="fr-FR"/>
        </w:rPr>
        <w:t xml:space="preserve"> suivantes : </w:t>
      </w:r>
      <w:hyperlink r:id="rId6" w:history="1">
        <w:r w:rsidRPr="00715097">
          <w:rPr>
            <w:rStyle w:val="Lienhypertexte"/>
            <w:lang w:val="fr-FR"/>
          </w:rPr>
          <w:t>wan.mas@tunisia.gov.tn</w:t>
        </w:r>
      </w:hyperlink>
      <w:r w:rsidRPr="00715097">
        <w:rPr>
          <w:b/>
          <w:bCs/>
          <w:szCs w:val="24"/>
          <w:lang w:val="fr-FR"/>
        </w:rPr>
        <w:t> ;</w:t>
      </w:r>
      <w:r w:rsidRPr="00715097">
        <w:rPr>
          <w:lang w:val="fr-FR"/>
        </w:rPr>
        <w:t xml:space="preserve"> </w:t>
      </w:r>
      <w:hyperlink r:id="rId7" w:history="1">
        <w:r w:rsidRPr="00715097">
          <w:rPr>
            <w:rStyle w:val="Lienhypertexte"/>
            <w:lang w:val="fr-FR"/>
          </w:rPr>
          <w:t>ugp@tunisia.gov.tn</w:t>
        </w:r>
      </w:hyperlink>
      <w:r w:rsidRPr="00715097">
        <w:rPr>
          <w:b/>
          <w:bCs/>
          <w:szCs w:val="24"/>
          <w:lang w:val="fr-FR"/>
        </w:rPr>
        <w:t xml:space="preserve"> </w:t>
      </w:r>
      <w:r w:rsidRPr="00715097">
        <w:rPr>
          <w:spacing w:val="-3"/>
          <w:lang w:val="fr-FR"/>
        </w:rPr>
        <w:t xml:space="preserve">et prendre connaissance des documents d’Appel d’offres à l’adresse mentionnée ci-dessous dans les horaires administratifs. </w:t>
      </w:r>
    </w:p>
    <w:p w14:paraId="4F9A0B12" w14:textId="77777777" w:rsidR="004E1E93" w:rsidRPr="00715097" w:rsidRDefault="004E1E93" w:rsidP="004E1E93">
      <w:pPr>
        <w:tabs>
          <w:tab w:val="left" w:pos="-720"/>
          <w:tab w:val="left" w:pos="0"/>
        </w:tabs>
        <w:spacing w:after="120"/>
        <w:ind w:firstLine="842"/>
        <w:jc w:val="left"/>
        <w:rPr>
          <w:spacing w:val="-3"/>
        </w:rPr>
      </w:pPr>
      <w:r w:rsidRPr="00715097">
        <w:rPr>
          <w:spacing w:val="-3"/>
        </w:rPr>
        <w:t xml:space="preserve">Rue : </w:t>
      </w:r>
      <w:r w:rsidRPr="00715097">
        <w:rPr>
          <w:b/>
          <w:bCs/>
          <w:spacing w:val="-3"/>
        </w:rPr>
        <w:t>88, Avenue Mohamed V, 1002</w:t>
      </w:r>
    </w:p>
    <w:p w14:paraId="63A7987D" w14:textId="77777777" w:rsidR="004E1E93" w:rsidRPr="00715097" w:rsidRDefault="004E1E93" w:rsidP="004E1E93">
      <w:pPr>
        <w:tabs>
          <w:tab w:val="left" w:pos="-720"/>
          <w:tab w:val="left" w:pos="0"/>
        </w:tabs>
        <w:spacing w:after="120"/>
        <w:ind w:firstLine="842"/>
        <w:jc w:val="left"/>
        <w:rPr>
          <w:b/>
          <w:bCs/>
          <w:spacing w:val="-3"/>
        </w:rPr>
      </w:pPr>
      <w:r w:rsidRPr="00715097">
        <w:rPr>
          <w:spacing w:val="-3"/>
        </w:rPr>
        <w:t xml:space="preserve">Étage/ </w:t>
      </w:r>
      <w:r w:rsidRPr="00715097">
        <w:rPr>
          <w:b/>
          <w:bCs/>
          <w:spacing w:val="-3"/>
        </w:rPr>
        <w:t>numéro de bureau : 1 -ème étage, bureau n°109</w:t>
      </w:r>
    </w:p>
    <w:p w14:paraId="2F91E348" w14:textId="77777777" w:rsidR="004E1E93" w:rsidRPr="00715097" w:rsidRDefault="004E1E93" w:rsidP="004E1E93">
      <w:pPr>
        <w:tabs>
          <w:tab w:val="left" w:pos="-720"/>
          <w:tab w:val="left" w:pos="0"/>
        </w:tabs>
        <w:spacing w:after="120"/>
        <w:ind w:firstLine="842"/>
        <w:jc w:val="left"/>
        <w:rPr>
          <w:b/>
          <w:bCs/>
          <w:spacing w:val="-3"/>
        </w:rPr>
      </w:pPr>
      <w:r w:rsidRPr="00715097">
        <w:rPr>
          <w:b/>
          <w:bCs/>
          <w:spacing w:val="-3"/>
        </w:rPr>
        <w:t>Ville : Tunis</w:t>
      </w:r>
    </w:p>
    <w:p w14:paraId="0AC8FBE7" w14:textId="77777777" w:rsidR="004E1E93" w:rsidRPr="00715097" w:rsidRDefault="004E1E93" w:rsidP="004E1E93">
      <w:pPr>
        <w:tabs>
          <w:tab w:val="left" w:pos="-720"/>
          <w:tab w:val="left" w:pos="0"/>
        </w:tabs>
        <w:spacing w:after="120"/>
        <w:ind w:firstLine="842"/>
        <w:jc w:val="left"/>
        <w:rPr>
          <w:b/>
          <w:bCs/>
          <w:spacing w:val="-3"/>
        </w:rPr>
      </w:pPr>
      <w:r w:rsidRPr="00715097">
        <w:rPr>
          <w:b/>
          <w:bCs/>
          <w:spacing w:val="-3"/>
        </w:rPr>
        <w:t>Horaires : De 8h30 à 17h30</w:t>
      </w:r>
    </w:p>
    <w:p w14:paraId="5B748FFA" w14:textId="77777777" w:rsidR="004E1E93" w:rsidRPr="00715097" w:rsidRDefault="004E1E93" w:rsidP="004E1E93">
      <w:pPr>
        <w:pStyle w:val="BankNormal"/>
        <w:numPr>
          <w:ilvl w:val="0"/>
          <w:numId w:val="1"/>
        </w:numPr>
        <w:suppressAutoHyphens/>
        <w:spacing w:after="60"/>
        <w:ind w:left="142" w:hanging="284"/>
        <w:jc w:val="both"/>
        <w:rPr>
          <w:szCs w:val="24"/>
          <w:lang w:val="fr-FR"/>
        </w:rPr>
      </w:pPr>
      <w:r w:rsidRPr="00715097">
        <w:rPr>
          <w:spacing w:val="-3"/>
          <w:lang w:val="fr-FR"/>
        </w:rPr>
        <w:t>Le</w:t>
      </w:r>
      <w:r w:rsidRPr="00715097">
        <w:rPr>
          <w:lang w:val="fr-FR"/>
        </w:rPr>
        <w:t xml:space="preserve"> Dossier d’Appel d’Offres en </w:t>
      </w:r>
      <w:r w:rsidRPr="00715097">
        <w:rPr>
          <w:i/>
          <w:iCs/>
          <w:lang w:val="fr-FR"/>
        </w:rPr>
        <w:t xml:space="preserve">Français </w:t>
      </w:r>
      <w:r w:rsidRPr="00715097">
        <w:rPr>
          <w:lang w:val="fr-FR"/>
        </w:rPr>
        <w:t xml:space="preserve">peut être </w:t>
      </w:r>
      <w:r w:rsidRPr="00715097">
        <w:rPr>
          <w:b/>
          <w:bCs/>
          <w:i/>
          <w:iCs/>
          <w:color w:val="5B9BD5" w:themeColor="accent1"/>
          <w:szCs w:val="24"/>
          <w:u w:val="single"/>
          <w:lang w:val="fr-FR"/>
        </w:rPr>
        <w:t>téléchargé gratuitement du site du ministère</w:t>
      </w:r>
      <w:r w:rsidRPr="00715097">
        <w:rPr>
          <w:szCs w:val="24"/>
          <w:lang w:val="fr-FR"/>
        </w:rPr>
        <w:t xml:space="preserve"> </w:t>
      </w:r>
      <w:r w:rsidRPr="00715097">
        <w:rPr>
          <w:lang w:val="fr-FR"/>
        </w:rPr>
        <w:t>à l’adresse suivante :</w:t>
      </w:r>
      <w:r w:rsidRPr="00715097">
        <w:rPr>
          <w:szCs w:val="24"/>
          <w:lang w:val="fr-FR"/>
        </w:rPr>
        <w:t xml:space="preserve"> (</w:t>
      </w:r>
      <w:hyperlink r:id="rId8" w:history="1">
        <w:r w:rsidRPr="00715097">
          <w:rPr>
            <w:rStyle w:val="Lienhypertexte"/>
            <w:szCs w:val="24"/>
            <w:lang w:val="fr-FR"/>
          </w:rPr>
          <w:t>https://www.mtc.gov.tn/index.php?id=28</w:t>
        </w:r>
      </w:hyperlink>
      <w:r w:rsidRPr="00715097">
        <w:rPr>
          <w:szCs w:val="24"/>
          <w:lang w:val="fr-FR"/>
        </w:rPr>
        <w:t>)</w:t>
      </w:r>
    </w:p>
    <w:p w14:paraId="21C45977" w14:textId="77777777" w:rsidR="004E1E93" w:rsidRPr="00715097" w:rsidRDefault="004E1E93" w:rsidP="004E1E93">
      <w:pPr>
        <w:pStyle w:val="BankNormal"/>
        <w:numPr>
          <w:ilvl w:val="0"/>
          <w:numId w:val="1"/>
        </w:numPr>
        <w:suppressAutoHyphens/>
        <w:spacing w:after="60"/>
        <w:ind w:left="142" w:hanging="284"/>
        <w:jc w:val="both"/>
        <w:rPr>
          <w:szCs w:val="24"/>
          <w:lang w:val="fr-FR"/>
        </w:rPr>
      </w:pPr>
      <w:r w:rsidRPr="00715097">
        <w:rPr>
          <w:spacing w:val="-3"/>
          <w:lang w:val="fr-FR"/>
        </w:rPr>
        <w:t>Les</w:t>
      </w:r>
      <w:r w:rsidRPr="00715097">
        <w:rPr>
          <w:lang w:val="fr-FR"/>
        </w:rPr>
        <w:t xml:space="preserve"> Offres </w:t>
      </w:r>
      <w:r w:rsidRPr="00715097">
        <w:rPr>
          <w:szCs w:val="24"/>
          <w:lang w:val="fr-FR"/>
        </w:rPr>
        <w:t xml:space="preserve">doivent être remises à l’adresse ci-dessous : </w:t>
      </w:r>
    </w:p>
    <w:p w14:paraId="04A8F670" w14:textId="77777777" w:rsidR="004E1E93" w:rsidRPr="00715097" w:rsidRDefault="004E1E93" w:rsidP="004E1E93">
      <w:pPr>
        <w:spacing w:after="120"/>
        <w:ind w:left="540" w:firstLine="878"/>
        <w:rPr>
          <w:b/>
          <w:bCs/>
          <w:szCs w:val="24"/>
        </w:rPr>
      </w:pPr>
      <w:r w:rsidRPr="00715097">
        <w:rPr>
          <w:b/>
          <w:bCs/>
          <w:i/>
          <w:iCs/>
          <w:szCs w:val="24"/>
        </w:rPr>
        <w:lastRenderedPageBreak/>
        <w:t xml:space="preserve">Ministère des Technologies de la Communication </w:t>
      </w:r>
    </w:p>
    <w:p w14:paraId="6102CFBF" w14:textId="77777777" w:rsidR="004E1E93" w:rsidRPr="00715097" w:rsidRDefault="004E1E93" w:rsidP="004E1E93">
      <w:pPr>
        <w:spacing w:after="120"/>
        <w:ind w:left="540" w:firstLine="878"/>
        <w:rPr>
          <w:b/>
          <w:bCs/>
          <w:i/>
          <w:iCs/>
          <w:szCs w:val="24"/>
        </w:rPr>
      </w:pPr>
      <w:r w:rsidRPr="00715097">
        <w:rPr>
          <w:b/>
          <w:bCs/>
          <w:i/>
          <w:iCs/>
          <w:szCs w:val="24"/>
        </w:rPr>
        <w:t xml:space="preserve">Bureau d’Ordre Central, </w:t>
      </w:r>
    </w:p>
    <w:p w14:paraId="43E8C0E8" w14:textId="77777777" w:rsidR="004E1E93" w:rsidRPr="00715097" w:rsidRDefault="004E1E93" w:rsidP="004E1E93">
      <w:pPr>
        <w:spacing w:after="120"/>
        <w:ind w:left="540" w:firstLine="878"/>
        <w:rPr>
          <w:b/>
          <w:bCs/>
          <w:i/>
          <w:iCs/>
          <w:szCs w:val="24"/>
        </w:rPr>
      </w:pPr>
      <w:r w:rsidRPr="00715097">
        <w:rPr>
          <w:b/>
          <w:bCs/>
          <w:i/>
          <w:iCs/>
          <w:szCs w:val="24"/>
        </w:rPr>
        <w:t xml:space="preserve">88, Avenue Mohamed V Tunis, Tunisie </w:t>
      </w:r>
    </w:p>
    <w:p w14:paraId="533D5B0C" w14:textId="04CC48A4" w:rsidR="004E1E93" w:rsidRPr="00715097" w:rsidRDefault="004E1E93" w:rsidP="004E1E93">
      <w:pPr>
        <w:pStyle w:val="BankNormal"/>
        <w:suppressAutoHyphens/>
        <w:spacing w:after="60"/>
        <w:ind w:left="142" w:firstLine="0"/>
        <w:jc w:val="both"/>
        <w:rPr>
          <w:szCs w:val="24"/>
          <w:lang w:val="fr-FR"/>
        </w:rPr>
      </w:pPr>
      <w:r w:rsidRPr="004E1E93">
        <w:rPr>
          <w:szCs w:val="24"/>
          <w:lang w:val="fr-FR"/>
        </w:rPr>
        <w:t xml:space="preserve">Au </w:t>
      </w:r>
      <w:r w:rsidRPr="004E1E93">
        <w:rPr>
          <w:spacing w:val="-3"/>
          <w:lang w:val="fr-FR"/>
        </w:rPr>
        <w:t>plus</w:t>
      </w:r>
      <w:r w:rsidRPr="004E1E93">
        <w:rPr>
          <w:szCs w:val="24"/>
          <w:lang w:val="fr-FR"/>
        </w:rPr>
        <w:t xml:space="preserve"> tard le </w:t>
      </w:r>
      <w:r w:rsidRPr="004E1E93">
        <w:rPr>
          <w:i/>
          <w:iCs/>
          <w:color w:val="EE0000"/>
          <w:szCs w:val="24"/>
          <w:u w:val="single"/>
          <w:lang w:val="fr-FR"/>
        </w:rPr>
        <w:t>28</w:t>
      </w:r>
      <w:r w:rsidRPr="004E1E93">
        <w:rPr>
          <w:i/>
          <w:iCs/>
          <w:color w:val="EE0000"/>
          <w:szCs w:val="24"/>
          <w:u w:val="single"/>
          <w:lang w:val="fr-FR"/>
        </w:rPr>
        <w:t xml:space="preserve"> Juillet 2026 à </w:t>
      </w:r>
      <w:r w:rsidRPr="004E1E93">
        <w:rPr>
          <w:i/>
          <w:iCs/>
          <w:color w:val="EE0000"/>
          <w:szCs w:val="24"/>
          <w:u w:val="single"/>
          <w:lang w:val="fr-FR"/>
        </w:rPr>
        <w:t>09</w:t>
      </w:r>
      <w:r w:rsidRPr="004E1E93">
        <w:rPr>
          <w:i/>
          <w:iCs/>
          <w:color w:val="EE0000"/>
          <w:szCs w:val="24"/>
          <w:u w:val="single"/>
          <w:lang w:val="fr-FR"/>
        </w:rPr>
        <w:t>h00 heure locale.</w:t>
      </w:r>
    </w:p>
    <w:p w14:paraId="73DAC23C" w14:textId="77777777" w:rsidR="004E1E93" w:rsidRPr="00715097" w:rsidRDefault="004E1E93" w:rsidP="004E1E93">
      <w:pPr>
        <w:suppressAutoHyphens/>
        <w:overflowPunct w:val="0"/>
        <w:autoSpaceDE w:val="0"/>
        <w:autoSpaceDN w:val="0"/>
        <w:adjustRightInd w:val="0"/>
        <w:spacing w:after="0"/>
        <w:contextualSpacing/>
        <w:jc w:val="left"/>
      </w:pPr>
      <w:r w:rsidRPr="00715097">
        <w:t>La soumission des offres doit être effectuée sous une enveloppe principale. Celle-ci doit impérativement être anonyme, scellée et porter les mentions suivantes :</w:t>
      </w:r>
    </w:p>
    <w:p w14:paraId="2A5A60B3" w14:textId="77777777" w:rsidR="004E1E93" w:rsidRPr="00715097" w:rsidRDefault="004E1E93" w:rsidP="004E1E93">
      <w:pPr>
        <w:spacing w:after="0"/>
        <w:ind w:left="720" w:firstLine="0"/>
        <w:jc w:val="center"/>
        <w:rPr>
          <w:b/>
          <w:bCs/>
          <w:spacing w:val="-4"/>
        </w:rPr>
      </w:pPr>
      <w:r w:rsidRPr="00715097">
        <w:rPr>
          <w:b/>
          <w:bCs/>
          <w:spacing w:val="-4"/>
        </w:rPr>
        <w:t>« OFFRE ORIGINALE »</w:t>
      </w:r>
    </w:p>
    <w:p w14:paraId="683C71E4" w14:textId="77777777" w:rsidR="004E1E93" w:rsidRPr="00715097" w:rsidRDefault="004E1E93" w:rsidP="004E1E93">
      <w:pPr>
        <w:spacing w:after="0"/>
        <w:ind w:left="720" w:firstLine="0"/>
        <w:jc w:val="center"/>
      </w:pPr>
      <w:r w:rsidRPr="00715097">
        <w:rPr>
          <w:b/>
          <w:bCs/>
          <w:spacing w:val="-4"/>
        </w:rPr>
        <w:t>Ministère des Technologies de l'information</w:t>
      </w:r>
    </w:p>
    <w:p w14:paraId="71EA20E0" w14:textId="77777777" w:rsidR="004E1E93" w:rsidRPr="00715097" w:rsidRDefault="004E1E93" w:rsidP="004E1E93">
      <w:pPr>
        <w:spacing w:after="0"/>
        <w:ind w:left="142" w:firstLine="0"/>
        <w:jc w:val="center"/>
      </w:pPr>
      <w:r w:rsidRPr="00715097">
        <w:rPr>
          <w:b/>
          <w:bCs/>
          <w:spacing w:val="-4"/>
        </w:rPr>
        <w:t>Programme de Transformation digitale des services publics orientés usagers - GOVTECH</w:t>
      </w:r>
    </w:p>
    <w:p w14:paraId="3DFC248A" w14:textId="77777777" w:rsidR="004E1E93" w:rsidRPr="00715097" w:rsidRDefault="004E1E93" w:rsidP="004E1E93">
      <w:pPr>
        <w:spacing w:after="0"/>
        <w:ind w:left="720" w:firstLine="0"/>
        <w:jc w:val="center"/>
      </w:pPr>
      <w:r w:rsidRPr="00715097">
        <w:rPr>
          <w:b/>
          <w:bCs/>
          <w:spacing w:val="-4"/>
        </w:rPr>
        <w:t>Unité de Gestion du Projet</w:t>
      </w:r>
    </w:p>
    <w:p w14:paraId="0D12A305" w14:textId="77777777" w:rsidR="004E1E93" w:rsidRPr="00715097" w:rsidRDefault="004E1E93" w:rsidP="004E1E93">
      <w:pPr>
        <w:spacing w:after="0"/>
        <w:ind w:left="720" w:firstLine="0"/>
        <w:jc w:val="center"/>
      </w:pPr>
      <w:r w:rsidRPr="00715097">
        <w:rPr>
          <w:b/>
          <w:bCs/>
          <w:spacing w:val="-4"/>
        </w:rPr>
        <w:t>88, Avenue Mohamed V</w:t>
      </w:r>
    </w:p>
    <w:p w14:paraId="1F04A4F9" w14:textId="77777777" w:rsidR="004E1E93" w:rsidRPr="00715097" w:rsidRDefault="004E1E93" w:rsidP="004E1E93">
      <w:pPr>
        <w:spacing w:after="0"/>
        <w:ind w:left="720" w:firstLine="0"/>
        <w:jc w:val="center"/>
      </w:pPr>
      <w:r w:rsidRPr="00715097">
        <w:rPr>
          <w:b/>
          <w:bCs/>
          <w:spacing w:val="-4"/>
        </w:rPr>
        <w:t>1002 Tunis – Tunisie</w:t>
      </w:r>
    </w:p>
    <w:p w14:paraId="1039BA1A" w14:textId="77777777" w:rsidR="004E1E93" w:rsidRPr="00715097" w:rsidRDefault="004E1E93" w:rsidP="004E1E93">
      <w:pPr>
        <w:spacing w:after="0"/>
        <w:ind w:left="0" w:firstLine="0"/>
        <w:jc w:val="left"/>
      </w:pPr>
      <w:r w:rsidRPr="00715097">
        <w:t>Cette enveloppe principale doit contenir deux sous-enveloppes distinctes :</w:t>
      </w:r>
    </w:p>
    <w:p w14:paraId="11A54287" w14:textId="77777777" w:rsidR="004E1E93" w:rsidRPr="00715097" w:rsidRDefault="004E1E93" w:rsidP="004E1E93">
      <w:pPr>
        <w:numPr>
          <w:ilvl w:val="0"/>
          <w:numId w:val="2"/>
        </w:numPr>
        <w:suppressAutoHyphens/>
        <w:overflowPunct w:val="0"/>
        <w:autoSpaceDE w:val="0"/>
        <w:autoSpaceDN w:val="0"/>
        <w:adjustRightInd w:val="0"/>
        <w:spacing w:after="0"/>
        <w:contextualSpacing/>
        <w:jc w:val="left"/>
      </w:pPr>
      <w:r w:rsidRPr="00715097">
        <w:rPr>
          <w:b/>
          <w:bCs/>
        </w:rPr>
        <w:t>Sous-enveloppe financière :</w:t>
      </w:r>
    </w:p>
    <w:p w14:paraId="0BF5E8AC" w14:textId="77777777" w:rsidR="004E1E93" w:rsidRPr="00715097" w:rsidRDefault="004E1E93" w:rsidP="004E1E93">
      <w:pPr>
        <w:spacing w:after="0"/>
        <w:ind w:left="0" w:firstLine="0"/>
        <w:jc w:val="left"/>
      </w:pPr>
      <w:r w:rsidRPr="00715097">
        <w:t xml:space="preserve">Doit impérativement être anonyme, </w:t>
      </w:r>
      <w:r w:rsidRPr="00715097">
        <w:rPr>
          <w:b/>
          <w:bCs/>
          <w:sz w:val="28"/>
          <w:szCs w:val="22"/>
          <w:u w:val="single"/>
        </w:rPr>
        <w:t>scellée</w:t>
      </w:r>
      <w:r w:rsidRPr="00715097">
        <w:rPr>
          <w:sz w:val="28"/>
          <w:szCs w:val="22"/>
        </w:rPr>
        <w:t xml:space="preserve"> </w:t>
      </w:r>
      <w:r w:rsidRPr="00715097">
        <w:t>et porter les mentions suivantes :</w:t>
      </w:r>
    </w:p>
    <w:p w14:paraId="73EBC7BA" w14:textId="77777777" w:rsidR="004E1E93" w:rsidRPr="00715097" w:rsidRDefault="004E1E93" w:rsidP="004E1E93">
      <w:pPr>
        <w:spacing w:after="0"/>
        <w:ind w:left="720" w:firstLine="0"/>
        <w:jc w:val="center"/>
        <w:rPr>
          <w:b/>
          <w:bCs/>
        </w:rPr>
      </w:pPr>
      <w:r w:rsidRPr="00715097">
        <w:rPr>
          <w:b/>
          <w:bCs/>
          <w:spacing w:val="-4"/>
        </w:rPr>
        <w:t>« PARTIE FINANCIERE »</w:t>
      </w:r>
    </w:p>
    <w:p w14:paraId="375A2215" w14:textId="77777777" w:rsidR="004E1E93" w:rsidRPr="00715097" w:rsidRDefault="004E1E93" w:rsidP="004E1E93">
      <w:pPr>
        <w:spacing w:after="0"/>
        <w:ind w:left="720" w:firstLine="0"/>
        <w:jc w:val="center"/>
        <w:rPr>
          <w:b/>
          <w:bCs/>
        </w:rPr>
      </w:pPr>
      <w:r w:rsidRPr="00715097">
        <w:rPr>
          <w:b/>
          <w:bCs/>
          <w:spacing w:val="-4"/>
        </w:rPr>
        <w:t>« À ne pas ouvrir »</w:t>
      </w:r>
    </w:p>
    <w:p w14:paraId="17DA4EAE" w14:textId="77777777" w:rsidR="004E1E93" w:rsidRPr="00715097" w:rsidRDefault="004E1E93" w:rsidP="004E1E93">
      <w:pPr>
        <w:spacing w:after="0"/>
        <w:ind w:left="0" w:firstLine="0"/>
        <w:jc w:val="left"/>
        <w:rPr>
          <w:spacing w:val="-4"/>
        </w:rPr>
      </w:pPr>
      <w:r w:rsidRPr="00715097">
        <w:rPr>
          <w:spacing w:val="-4"/>
        </w:rPr>
        <w:t xml:space="preserve">Contenu : l’offre papier originale, deux copies, et une version électronique de la partie financière </w:t>
      </w:r>
      <w:r w:rsidRPr="00715097">
        <w:rPr>
          <w:b/>
          <w:bCs/>
          <w:spacing w:val="-4"/>
          <w:sz w:val="28"/>
          <w:szCs w:val="22"/>
          <w:u w:val="single"/>
        </w:rPr>
        <w:t>uniquement</w:t>
      </w:r>
      <w:r w:rsidRPr="00715097">
        <w:rPr>
          <w:spacing w:val="-4"/>
        </w:rPr>
        <w:t>, cachetée et scellée</w:t>
      </w:r>
    </w:p>
    <w:p w14:paraId="2D0934E4" w14:textId="77777777" w:rsidR="004E1E93" w:rsidRPr="00715097" w:rsidRDefault="004E1E93" w:rsidP="004E1E93">
      <w:pPr>
        <w:spacing w:after="0"/>
        <w:ind w:left="0" w:firstLine="0"/>
        <w:jc w:val="left"/>
        <w:rPr>
          <w:spacing w:val="-4"/>
        </w:rPr>
      </w:pPr>
      <w:r w:rsidRPr="00715097">
        <w:rPr>
          <w:spacing w:val="-4"/>
        </w:rPr>
        <w:t>NB :la version électronique de l’offre financière doit être insérée dans l’enveloppe financière, faute de quoi l’offre sera rejetée.</w:t>
      </w:r>
    </w:p>
    <w:p w14:paraId="553ED3D6" w14:textId="77777777" w:rsidR="004E1E93" w:rsidRPr="00715097" w:rsidRDefault="004E1E93" w:rsidP="004E1E93">
      <w:pPr>
        <w:spacing w:after="0"/>
        <w:ind w:left="0" w:firstLine="0"/>
        <w:jc w:val="left"/>
      </w:pPr>
    </w:p>
    <w:p w14:paraId="66519DBE" w14:textId="77777777" w:rsidR="004E1E93" w:rsidRPr="00715097" w:rsidRDefault="004E1E93" w:rsidP="004E1E93">
      <w:pPr>
        <w:numPr>
          <w:ilvl w:val="0"/>
          <w:numId w:val="2"/>
        </w:numPr>
        <w:suppressAutoHyphens/>
        <w:overflowPunct w:val="0"/>
        <w:autoSpaceDE w:val="0"/>
        <w:autoSpaceDN w:val="0"/>
        <w:adjustRightInd w:val="0"/>
        <w:spacing w:after="0"/>
        <w:contextualSpacing/>
        <w:jc w:val="left"/>
      </w:pPr>
      <w:r w:rsidRPr="00715097">
        <w:rPr>
          <w:b/>
          <w:bCs/>
        </w:rPr>
        <w:t>Sous-enveloppe technique :</w:t>
      </w:r>
    </w:p>
    <w:p w14:paraId="641D7C88" w14:textId="77777777" w:rsidR="004E1E93" w:rsidRPr="00715097" w:rsidRDefault="004E1E93" w:rsidP="004E1E93">
      <w:pPr>
        <w:spacing w:after="0"/>
        <w:ind w:left="0" w:firstLine="0"/>
        <w:jc w:val="left"/>
      </w:pPr>
      <w:r w:rsidRPr="00715097">
        <w:t xml:space="preserve">Doit impérativement être, </w:t>
      </w:r>
      <w:r w:rsidRPr="00715097">
        <w:rPr>
          <w:b/>
          <w:bCs/>
        </w:rPr>
        <w:t>scellée</w:t>
      </w:r>
      <w:r w:rsidRPr="00715097">
        <w:t xml:space="preserve"> et porter les mentions suivantes :</w:t>
      </w:r>
    </w:p>
    <w:p w14:paraId="5A3F4692" w14:textId="77777777" w:rsidR="004E1E93" w:rsidRPr="00715097" w:rsidRDefault="004E1E93" w:rsidP="004E1E93">
      <w:pPr>
        <w:spacing w:after="0"/>
        <w:ind w:left="720" w:firstLine="0"/>
        <w:jc w:val="center"/>
        <w:rPr>
          <w:b/>
          <w:bCs/>
        </w:rPr>
      </w:pPr>
      <w:r w:rsidRPr="00715097">
        <w:rPr>
          <w:b/>
          <w:bCs/>
          <w:spacing w:val="-4"/>
        </w:rPr>
        <w:t>« PARTIE TECHNIQUE »</w:t>
      </w:r>
    </w:p>
    <w:p w14:paraId="48832EB9" w14:textId="77777777" w:rsidR="004E1E93" w:rsidRPr="00715097" w:rsidRDefault="004E1E93" w:rsidP="004E1E93">
      <w:pPr>
        <w:pStyle w:val="BankNormal"/>
        <w:suppressAutoHyphens/>
        <w:spacing w:after="60"/>
        <w:ind w:left="142" w:firstLine="0"/>
        <w:jc w:val="both"/>
        <w:rPr>
          <w:b/>
          <w:bCs/>
          <w:spacing w:val="-4"/>
          <w:sz w:val="28"/>
          <w:szCs w:val="22"/>
          <w:u w:val="single"/>
          <w:lang w:val="fr-FR"/>
        </w:rPr>
      </w:pPr>
      <w:r w:rsidRPr="00715097">
        <w:rPr>
          <w:spacing w:val="-4"/>
          <w:lang w:val="fr-FR"/>
        </w:rPr>
        <w:t xml:space="preserve">Contenu : l’offre technique originale, deux copies, et une version électronique de la partie technique </w:t>
      </w:r>
      <w:r w:rsidRPr="00715097">
        <w:rPr>
          <w:b/>
          <w:bCs/>
          <w:spacing w:val="-4"/>
          <w:sz w:val="28"/>
          <w:szCs w:val="22"/>
          <w:u w:val="single"/>
          <w:lang w:val="fr-FR"/>
        </w:rPr>
        <w:t>uniquement</w:t>
      </w:r>
    </w:p>
    <w:p w14:paraId="6BA44752" w14:textId="77777777" w:rsidR="004E1E93" w:rsidRPr="00715097" w:rsidRDefault="004E1E93" w:rsidP="004E1E93">
      <w:pPr>
        <w:pStyle w:val="BankNormal"/>
        <w:suppressAutoHyphens/>
        <w:spacing w:after="60"/>
        <w:ind w:left="142" w:firstLine="0"/>
        <w:jc w:val="both"/>
        <w:rPr>
          <w:i/>
          <w:szCs w:val="24"/>
          <w:lang w:val="fr-FR"/>
        </w:rPr>
      </w:pPr>
      <w:r w:rsidRPr="00715097">
        <w:rPr>
          <w:szCs w:val="24"/>
          <w:lang w:val="fr-FR"/>
        </w:rPr>
        <w:t xml:space="preserve">Seront ouvertes publiquement en présence des représentants désignés des Soumissionnaires et de toutes personnes qui souhaitent assister à l’ouverture des Offres à l’adresse indiquée ci-dessous : </w:t>
      </w:r>
    </w:p>
    <w:p w14:paraId="18510602" w14:textId="77777777" w:rsidR="004E1E93" w:rsidRPr="00715097" w:rsidRDefault="004E1E93" w:rsidP="004E1E93">
      <w:pPr>
        <w:spacing w:after="120"/>
        <w:ind w:left="540" w:firstLine="878"/>
        <w:rPr>
          <w:b/>
          <w:bCs/>
          <w:i/>
          <w:iCs/>
          <w:szCs w:val="24"/>
        </w:rPr>
      </w:pPr>
      <w:r w:rsidRPr="00715097">
        <w:rPr>
          <w:szCs w:val="24"/>
        </w:rPr>
        <w:t xml:space="preserve"> </w:t>
      </w:r>
    </w:p>
    <w:p w14:paraId="77603FE2" w14:textId="77777777" w:rsidR="004E1E93" w:rsidRPr="00715097" w:rsidRDefault="004E1E93" w:rsidP="004E1E93">
      <w:pPr>
        <w:spacing w:after="120"/>
        <w:ind w:left="540" w:firstLine="878"/>
        <w:rPr>
          <w:b/>
          <w:bCs/>
          <w:szCs w:val="24"/>
        </w:rPr>
      </w:pPr>
      <w:r w:rsidRPr="00715097">
        <w:rPr>
          <w:b/>
          <w:bCs/>
          <w:i/>
          <w:iCs/>
          <w:szCs w:val="24"/>
        </w:rPr>
        <w:t xml:space="preserve">Ministère des Technologies de la Communication </w:t>
      </w:r>
    </w:p>
    <w:p w14:paraId="427FB40B" w14:textId="77777777" w:rsidR="004E1E93" w:rsidRPr="00715097" w:rsidRDefault="004E1E93" w:rsidP="004E1E93">
      <w:pPr>
        <w:spacing w:after="120"/>
        <w:ind w:left="540" w:firstLine="878"/>
        <w:rPr>
          <w:b/>
          <w:bCs/>
          <w:i/>
          <w:iCs/>
          <w:szCs w:val="24"/>
        </w:rPr>
      </w:pPr>
      <w:r w:rsidRPr="00715097">
        <w:rPr>
          <w:b/>
          <w:bCs/>
          <w:i/>
          <w:iCs/>
          <w:szCs w:val="24"/>
        </w:rPr>
        <w:t xml:space="preserve">Bureau d’Ordre Central, </w:t>
      </w:r>
    </w:p>
    <w:p w14:paraId="382AD60D" w14:textId="77777777" w:rsidR="004E1E93" w:rsidRPr="00715097" w:rsidRDefault="004E1E93" w:rsidP="004E1E93">
      <w:pPr>
        <w:spacing w:after="120"/>
        <w:ind w:left="540" w:firstLine="878"/>
        <w:rPr>
          <w:b/>
          <w:bCs/>
          <w:i/>
          <w:iCs/>
          <w:szCs w:val="24"/>
        </w:rPr>
      </w:pPr>
      <w:r w:rsidRPr="00715097">
        <w:rPr>
          <w:b/>
          <w:bCs/>
          <w:i/>
          <w:iCs/>
          <w:szCs w:val="24"/>
        </w:rPr>
        <w:t xml:space="preserve">88, Avenue Mohamed V Tunis, Tunisie </w:t>
      </w:r>
    </w:p>
    <w:p w14:paraId="5E627235" w14:textId="77777777" w:rsidR="004E1E93" w:rsidRPr="00715097" w:rsidRDefault="004E1E93" w:rsidP="004E1E93">
      <w:pPr>
        <w:spacing w:after="120"/>
        <w:ind w:left="540" w:firstLine="878"/>
        <w:rPr>
          <w:b/>
          <w:bCs/>
          <w:i/>
          <w:iCs/>
          <w:szCs w:val="24"/>
        </w:rPr>
      </w:pPr>
      <w:r w:rsidRPr="00715097">
        <w:rPr>
          <w:b/>
          <w:bCs/>
          <w:i/>
          <w:iCs/>
          <w:szCs w:val="24"/>
        </w:rPr>
        <w:t>Salle de réunion 1 -ème étage(E1)</w:t>
      </w:r>
    </w:p>
    <w:p w14:paraId="01C45205" w14:textId="6627B5D1" w:rsidR="004E1E93" w:rsidRPr="004E1E93" w:rsidRDefault="004E1E93" w:rsidP="004E1E93">
      <w:pPr>
        <w:spacing w:after="120"/>
        <w:ind w:left="540" w:firstLine="878"/>
        <w:rPr>
          <w:b/>
          <w:bCs/>
          <w:i/>
          <w:iCs/>
          <w:color w:val="EE0000"/>
          <w:szCs w:val="24"/>
          <w:u w:val="single"/>
          <w:vertAlign w:val="superscript"/>
        </w:rPr>
      </w:pPr>
      <w:r w:rsidRPr="004E1E93">
        <w:rPr>
          <w:b/>
          <w:bCs/>
          <w:i/>
          <w:iCs/>
          <w:szCs w:val="24"/>
        </w:rPr>
        <w:t xml:space="preserve">Date et Heure : </w:t>
      </w:r>
      <w:r w:rsidRPr="004E1E93">
        <w:rPr>
          <w:i/>
          <w:iCs/>
          <w:color w:val="EE0000"/>
          <w:szCs w:val="24"/>
          <w:u w:val="single"/>
        </w:rPr>
        <w:t xml:space="preserve">le </w:t>
      </w:r>
      <w:r w:rsidRPr="004E1E93">
        <w:rPr>
          <w:i/>
          <w:iCs/>
          <w:color w:val="EE0000"/>
          <w:szCs w:val="24"/>
          <w:u w:val="single"/>
        </w:rPr>
        <w:t>28</w:t>
      </w:r>
      <w:r w:rsidRPr="004E1E93">
        <w:rPr>
          <w:i/>
          <w:iCs/>
          <w:color w:val="EE0000"/>
          <w:szCs w:val="24"/>
          <w:u w:val="single"/>
        </w:rPr>
        <w:t xml:space="preserve"> Juillet 202</w:t>
      </w:r>
      <w:r w:rsidRPr="004E1E93">
        <w:rPr>
          <w:i/>
          <w:iCs/>
          <w:color w:val="EE0000"/>
          <w:szCs w:val="24"/>
          <w:u w:val="single"/>
        </w:rPr>
        <w:t>6</w:t>
      </w:r>
      <w:r w:rsidRPr="004E1E93">
        <w:rPr>
          <w:i/>
          <w:iCs/>
          <w:color w:val="EE0000"/>
          <w:szCs w:val="24"/>
          <w:u w:val="single"/>
        </w:rPr>
        <w:t xml:space="preserve"> à </w:t>
      </w:r>
      <w:r w:rsidRPr="004E1E93">
        <w:rPr>
          <w:i/>
          <w:iCs/>
          <w:color w:val="EE0000"/>
          <w:szCs w:val="24"/>
          <w:u w:val="single"/>
        </w:rPr>
        <w:t>09</w:t>
      </w:r>
      <w:r w:rsidRPr="004E1E93">
        <w:rPr>
          <w:i/>
          <w:iCs/>
          <w:color w:val="EE0000"/>
          <w:szCs w:val="24"/>
          <w:u w:val="single"/>
        </w:rPr>
        <w:t>h</w:t>
      </w:r>
      <w:r w:rsidRPr="004E1E93">
        <w:rPr>
          <w:i/>
          <w:iCs/>
          <w:color w:val="EE0000"/>
          <w:szCs w:val="24"/>
          <w:u w:val="single"/>
        </w:rPr>
        <w:t>0</w:t>
      </w:r>
      <w:r w:rsidRPr="004E1E93">
        <w:rPr>
          <w:i/>
          <w:iCs/>
          <w:color w:val="EE0000"/>
          <w:szCs w:val="24"/>
          <w:u w:val="single"/>
        </w:rPr>
        <w:t>0 heure locale</w:t>
      </w:r>
    </w:p>
    <w:p w14:paraId="638B3978" w14:textId="77777777" w:rsidR="004E1E93" w:rsidRPr="00715097" w:rsidRDefault="004E1E93" w:rsidP="004E1E93">
      <w:pPr>
        <w:pStyle w:val="BankNormal"/>
        <w:suppressAutoHyphens/>
        <w:spacing w:after="60"/>
        <w:ind w:left="142" w:firstLine="0"/>
        <w:jc w:val="both"/>
        <w:rPr>
          <w:szCs w:val="24"/>
          <w:lang w:val="fr-FR"/>
        </w:rPr>
      </w:pPr>
      <w:r w:rsidRPr="00715097">
        <w:rPr>
          <w:szCs w:val="24"/>
          <w:lang w:val="fr-FR"/>
        </w:rPr>
        <w:t>Toutes les enveloppes marquées « PARTIE FINANCIERE » devront rester fermées et seront conservées dans un lieu sûr du Maître d’Ouvrage jusqu’à la seconde ouverture publique des Offres.</w:t>
      </w:r>
    </w:p>
    <w:p w14:paraId="6F289E83" w14:textId="77777777" w:rsidR="004E1E93" w:rsidRPr="00715097" w:rsidRDefault="004E1E93" w:rsidP="004E1E93">
      <w:pPr>
        <w:pStyle w:val="BankNormal"/>
        <w:numPr>
          <w:ilvl w:val="0"/>
          <w:numId w:val="1"/>
        </w:numPr>
        <w:suppressAutoHyphens/>
        <w:spacing w:after="60"/>
        <w:ind w:left="142" w:hanging="284"/>
        <w:jc w:val="both"/>
        <w:rPr>
          <w:szCs w:val="24"/>
          <w:lang w:val="fr-FR"/>
        </w:rPr>
      </w:pPr>
      <w:r w:rsidRPr="00715097">
        <w:rPr>
          <w:szCs w:val="24"/>
          <w:lang w:val="fr-FR"/>
        </w:rPr>
        <w:t>Les Offres doivent être accompagnées d’une Garantie de l’offre dont le montant est indiqué dans le tableau ci-dessous :</w:t>
      </w:r>
    </w:p>
    <w:p w14:paraId="04560A58" w14:textId="77777777" w:rsidR="004E1E93" w:rsidRPr="00715097" w:rsidRDefault="004E1E93" w:rsidP="004E1E93">
      <w:pPr>
        <w:pStyle w:val="BankNormal"/>
        <w:suppressAutoHyphens/>
        <w:spacing w:after="60"/>
        <w:ind w:left="142" w:firstLine="0"/>
        <w:jc w:val="both"/>
        <w:rPr>
          <w:szCs w:val="24"/>
          <w:lang w:val="fr-FR"/>
        </w:rPr>
      </w:pPr>
    </w:p>
    <w:tbl>
      <w:tblPr>
        <w:tblStyle w:val="TableauGrille5Fonc-Accentuation1"/>
        <w:tblW w:w="10246" w:type="dxa"/>
        <w:jc w:val="center"/>
        <w:tblLayout w:type="fixed"/>
        <w:tblLook w:val="04A0" w:firstRow="1" w:lastRow="0" w:firstColumn="1" w:lastColumn="0" w:noHBand="0" w:noVBand="1"/>
      </w:tblPr>
      <w:tblGrid>
        <w:gridCol w:w="1558"/>
        <w:gridCol w:w="5008"/>
        <w:gridCol w:w="1696"/>
        <w:gridCol w:w="1984"/>
      </w:tblGrid>
      <w:tr w:rsidR="004E1E93" w:rsidRPr="00715097" w14:paraId="09E9FA48" w14:textId="77777777" w:rsidTr="00024062">
        <w:trPr>
          <w:cnfStyle w:val="100000000000" w:firstRow="1" w:lastRow="0" w:firstColumn="0" w:lastColumn="0" w:oddVBand="0" w:evenVBand="0" w:oddHBand="0" w:evenHBand="0" w:firstRowFirstColumn="0" w:firstRowLastColumn="0" w:lastRowFirstColumn="0" w:lastRowLastColumn="0"/>
          <w:trHeight w:val="511"/>
          <w:jc w:val="center"/>
        </w:trPr>
        <w:tc>
          <w:tcPr>
            <w:cnfStyle w:val="001000000000" w:firstRow="0" w:lastRow="0" w:firstColumn="1" w:lastColumn="0" w:oddVBand="0" w:evenVBand="0" w:oddHBand="0" w:evenHBand="0" w:firstRowFirstColumn="0" w:firstRowLastColumn="0" w:lastRowFirstColumn="0" w:lastRowLastColumn="0"/>
            <w:tcW w:w="1558" w:type="dxa"/>
          </w:tcPr>
          <w:p w14:paraId="73D78418" w14:textId="77777777" w:rsidR="004E1E93" w:rsidRPr="00715097" w:rsidRDefault="004E1E93" w:rsidP="00024062">
            <w:pPr>
              <w:tabs>
                <w:tab w:val="right" w:pos="7254"/>
              </w:tabs>
              <w:spacing w:before="160" w:after="160"/>
              <w:jc w:val="center"/>
              <w:rPr>
                <w:i/>
                <w:iCs/>
                <w:sz w:val="22"/>
                <w:szCs w:val="22"/>
              </w:rPr>
            </w:pPr>
            <w:r w:rsidRPr="00715097">
              <w:rPr>
                <w:i/>
                <w:iCs/>
                <w:sz w:val="22"/>
                <w:szCs w:val="22"/>
              </w:rPr>
              <w:lastRenderedPageBreak/>
              <w:t>Lots</w:t>
            </w:r>
          </w:p>
        </w:tc>
        <w:tc>
          <w:tcPr>
            <w:tcW w:w="5008" w:type="dxa"/>
          </w:tcPr>
          <w:p w14:paraId="2DF37A6A" w14:textId="77777777" w:rsidR="004E1E93" w:rsidRPr="00715097" w:rsidRDefault="004E1E93" w:rsidP="00024062">
            <w:pPr>
              <w:tabs>
                <w:tab w:val="right" w:pos="7254"/>
              </w:tabs>
              <w:spacing w:before="160" w:after="160"/>
              <w:cnfStyle w:val="100000000000" w:firstRow="1" w:lastRow="0" w:firstColumn="0" w:lastColumn="0" w:oddVBand="0" w:evenVBand="0" w:oddHBand="0" w:evenHBand="0" w:firstRowFirstColumn="0" w:firstRowLastColumn="0" w:lastRowFirstColumn="0" w:lastRowLastColumn="0"/>
              <w:rPr>
                <w:i/>
                <w:iCs/>
                <w:sz w:val="22"/>
                <w:szCs w:val="22"/>
              </w:rPr>
            </w:pPr>
            <w:r w:rsidRPr="00715097">
              <w:rPr>
                <w:sz w:val="22"/>
                <w:szCs w:val="22"/>
              </w:rPr>
              <w:t>Zone géographique cible</w:t>
            </w:r>
          </w:p>
        </w:tc>
        <w:tc>
          <w:tcPr>
            <w:tcW w:w="1696" w:type="dxa"/>
          </w:tcPr>
          <w:p w14:paraId="70AC0B59" w14:textId="77777777" w:rsidR="004E1E93" w:rsidRPr="00715097" w:rsidRDefault="004E1E93" w:rsidP="00024062">
            <w:pPr>
              <w:tabs>
                <w:tab w:val="right" w:pos="7254"/>
              </w:tabs>
              <w:spacing w:before="160" w:after="160"/>
              <w:ind w:left="0" w:hanging="72"/>
              <w:jc w:val="center"/>
              <w:cnfStyle w:val="100000000000" w:firstRow="1" w:lastRow="0" w:firstColumn="0" w:lastColumn="0" w:oddVBand="0" w:evenVBand="0" w:oddHBand="0" w:evenHBand="0" w:firstRowFirstColumn="0" w:firstRowLastColumn="0" w:lastRowFirstColumn="0" w:lastRowLastColumn="0"/>
              <w:rPr>
                <w:i/>
                <w:iCs/>
                <w:sz w:val="22"/>
                <w:szCs w:val="22"/>
              </w:rPr>
            </w:pPr>
            <w:r w:rsidRPr="00715097">
              <w:rPr>
                <w:i/>
                <w:iCs/>
                <w:sz w:val="22"/>
                <w:szCs w:val="22"/>
              </w:rPr>
              <w:t>Nombre de Sites</w:t>
            </w:r>
          </w:p>
        </w:tc>
        <w:tc>
          <w:tcPr>
            <w:tcW w:w="1984" w:type="dxa"/>
          </w:tcPr>
          <w:p w14:paraId="133C432E" w14:textId="77777777" w:rsidR="004E1E93" w:rsidRPr="00715097" w:rsidRDefault="004E1E93" w:rsidP="00024062">
            <w:pPr>
              <w:tabs>
                <w:tab w:val="right" w:pos="7254"/>
              </w:tabs>
              <w:spacing w:before="160" w:after="160"/>
              <w:ind w:left="0" w:hanging="72"/>
              <w:jc w:val="center"/>
              <w:cnfStyle w:val="100000000000" w:firstRow="1" w:lastRow="0" w:firstColumn="0" w:lastColumn="0" w:oddVBand="0" w:evenVBand="0" w:oddHBand="0" w:evenHBand="0" w:firstRowFirstColumn="0" w:firstRowLastColumn="0" w:lastRowFirstColumn="0" w:lastRowLastColumn="0"/>
              <w:rPr>
                <w:i/>
                <w:iCs/>
                <w:sz w:val="22"/>
                <w:szCs w:val="22"/>
              </w:rPr>
            </w:pPr>
            <w:r w:rsidRPr="00715097">
              <w:rPr>
                <w:i/>
                <w:iCs/>
                <w:sz w:val="22"/>
                <w:szCs w:val="22"/>
              </w:rPr>
              <w:t>Montant de la garantie (DT)</w:t>
            </w:r>
          </w:p>
        </w:tc>
      </w:tr>
      <w:tr w:rsidR="004E1E93" w:rsidRPr="00715097" w14:paraId="629D9C5B" w14:textId="77777777" w:rsidTr="00024062">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58" w:type="dxa"/>
          </w:tcPr>
          <w:p w14:paraId="703342F7" w14:textId="77777777" w:rsidR="004E1E93" w:rsidRPr="00715097" w:rsidRDefault="004E1E93" w:rsidP="00024062">
            <w:pPr>
              <w:tabs>
                <w:tab w:val="right" w:pos="7254"/>
              </w:tabs>
              <w:spacing w:before="160" w:after="160"/>
              <w:jc w:val="center"/>
              <w:rPr>
                <w:i/>
                <w:iCs/>
                <w:color w:val="auto"/>
                <w:sz w:val="22"/>
                <w:szCs w:val="22"/>
              </w:rPr>
            </w:pPr>
            <w:r w:rsidRPr="00715097">
              <w:rPr>
                <w:i/>
                <w:iCs/>
                <w:sz w:val="22"/>
                <w:szCs w:val="22"/>
              </w:rPr>
              <w:t>Lot 1</w:t>
            </w:r>
          </w:p>
        </w:tc>
        <w:tc>
          <w:tcPr>
            <w:tcW w:w="5008" w:type="dxa"/>
          </w:tcPr>
          <w:p w14:paraId="799D0160" w14:textId="77777777" w:rsidR="004E1E93" w:rsidRPr="00715097" w:rsidRDefault="004E1E93" w:rsidP="00024062">
            <w:pPr>
              <w:pStyle w:val="xmsonormal"/>
              <w:cnfStyle w:val="000000100000" w:firstRow="0" w:lastRow="0" w:firstColumn="0" w:lastColumn="0" w:oddVBand="0" w:evenVBand="0" w:oddHBand="1" w:evenHBand="0" w:firstRowFirstColumn="0" w:firstRowLastColumn="0" w:lastRowFirstColumn="0" w:lastRowLastColumn="0"/>
              <w:rPr>
                <w:sz w:val="22"/>
                <w:szCs w:val="22"/>
                <w:lang w:val="fr-FR"/>
              </w:rPr>
            </w:pPr>
            <w:r w:rsidRPr="00715097">
              <w:rPr>
                <w:lang w:val="fr-FR"/>
              </w:rPr>
              <w:t xml:space="preserve">Tunis, Ariana, Béja, Bizerte, Jendouba, </w:t>
            </w:r>
            <w:proofErr w:type="spellStart"/>
            <w:r w:rsidRPr="00715097">
              <w:rPr>
                <w:lang w:val="fr-FR"/>
              </w:rPr>
              <w:t>Manouba</w:t>
            </w:r>
            <w:proofErr w:type="spellEnd"/>
            <w:r w:rsidRPr="00715097">
              <w:rPr>
                <w:lang w:val="fr-FR"/>
              </w:rPr>
              <w:t xml:space="preserve"> et </w:t>
            </w:r>
            <w:proofErr w:type="spellStart"/>
            <w:r w:rsidRPr="00715097">
              <w:rPr>
                <w:lang w:val="fr-FR"/>
              </w:rPr>
              <w:t>Séliana</w:t>
            </w:r>
            <w:proofErr w:type="spellEnd"/>
          </w:p>
        </w:tc>
        <w:tc>
          <w:tcPr>
            <w:tcW w:w="1696" w:type="dxa"/>
          </w:tcPr>
          <w:p w14:paraId="174AC5A0" w14:textId="77777777" w:rsidR="004E1E93" w:rsidRPr="00715097" w:rsidRDefault="004E1E93" w:rsidP="00024062">
            <w:pPr>
              <w:tabs>
                <w:tab w:val="right" w:pos="7254"/>
              </w:tabs>
              <w:spacing w:before="160" w:after="160"/>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715097">
              <w:rPr>
                <w:b/>
                <w:bCs/>
                <w:sz w:val="22"/>
                <w:szCs w:val="22"/>
              </w:rPr>
              <w:t>137</w:t>
            </w:r>
          </w:p>
        </w:tc>
        <w:tc>
          <w:tcPr>
            <w:tcW w:w="1984" w:type="dxa"/>
          </w:tcPr>
          <w:p w14:paraId="2A8C4772" w14:textId="77777777" w:rsidR="004E1E93" w:rsidRPr="00715097" w:rsidRDefault="004E1E93" w:rsidP="00024062">
            <w:pPr>
              <w:tabs>
                <w:tab w:val="right" w:pos="7254"/>
              </w:tabs>
              <w:spacing w:before="160" w:after="160"/>
              <w:jc w:val="center"/>
              <w:cnfStyle w:val="000000100000" w:firstRow="0" w:lastRow="0" w:firstColumn="0" w:lastColumn="0" w:oddVBand="0" w:evenVBand="0" w:oddHBand="1" w:evenHBand="0" w:firstRowFirstColumn="0" w:firstRowLastColumn="0" w:lastRowFirstColumn="0" w:lastRowLastColumn="0"/>
              <w:rPr>
                <w:sz w:val="22"/>
                <w:szCs w:val="22"/>
              </w:rPr>
            </w:pPr>
            <w:r w:rsidRPr="00715097">
              <w:rPr>
                <w:sz w:val="22"/>
                <w:szCs w:val="22"/>
              </w:rPr>
              <w:t>60 000</w:t>
            </w:r>
          </w:p>
        </w:tc>
      </w:tr>
      <w:tr w:rsidR="004E1E93" w:rsidRPr="00715097" w14:paraId="3FF4D783" w14:textId="77777777" w:rsidTr="00024062">
        <w:trPr>
          <w:trHeight w:val="21"/>
          <w:jc w:val="center"/>
        </w:trPr>
        <w:tc>
          <w:tcPr>
            <w:cnfStyle w:val="001000000000" w:firstRow="0" w:lastRow="0" w:firstColumn="1" w:lastColumn="0" w:oddVBand="0" w:evenVBand="0" w:oddHBand="0" w:evenHBand="0" w:firstRowFirstColumn="0" w:firstRowLastColumn="0" w:lastRowFirstColumn="0" w:lastRowLastColumn="0"/>
            <w:tcW w:w="1558" w:type="dxa"/>
          </w:tcPr>
          <w:p w14:paraId="538434E3" w14:textId="77777777" w:rsidR="004E1E93" w:rsidRPr="00715097" w:rsidRDefault="004E1E93" w:rsidP="00024062">
            <w:pPr>
              <w:tabs>
                <w:tab w:val="right" w:pos="7254"/>
              </w:tabs>
              <w:spacing w:before="160" w:after="160"/>
              <w:jc w:val="center"/>
              <w:rPr>
                <w:i/>
                <w:iCs/>
                <w:color w:val="auto"/>
                <w:sz w:val="22"/>
                <w:szCs w:val="22"/>
              </w:rPr>
            </w:pPr>
            <w:r w:rsidRPr="00715097">
              <w:rPr>
                <w:i/>
                <w:iCs/>
                <w:sz w:val="22"/>
                <w:szCs w:val="22"/>
              </w:rPr>
              <w:t>Lot 2</w:t>
            </w:r>
          </w:p>
        </w:tc>
        <w:tc>
          <w:tcPr>
            <w:tcW w:w="5008" w:type="dxa"/>
          </w:tcPr>
          <w:p w14:paraId="11EDBC8A" w14:textId="77777777" w:rsidR="004E1E93" w:rsidRPr="00715097" w:rsidRDefault="004E1E93" w:rsidP="00024062">
            <w:pPr>
              <w:pStyle w:val="xmsonormal"/>
              <w:cnfStyle w:val="000000000000" w:firstRow="0" w:lastRow="0" w:firstColumn="0" w:lastColumn="0" w:oddVBand="0" w:evenVBand="0" w:oddHBand="0" w:evenHBand="0" w:firstRowFirstColumn="0" w:firstRowLastColumn="0" w:lastRowFirstColumn="0" w:lastRowLastColumn="0"/>
              <w:rPr>
                <w:sz w:val="22"/>
                <w:szCs w:val="22"/>
                <w:lang w:val="fr-FR"/>
              </w:rPr>
            </w:pPr>
            <w:r w:rsidRPr="00715097">
              <w:rPr>
                <w:lang w:val="fr-FR"/>
              </w:rPr>
              <w:t>Ben Arous, Kairouan, Kef, Zaghouan, Monastir, Nabeul, Sousse, Datacenter et Siège</w:t>
            </w:r>
          </w:p>
        </w:tc>
        <w:tc>
          <w:tcPr>
            <w:tcW w:w="1696" w:type="dxa"/>
          </w:tcPr>
          <w:p w14:paraId="6866A5F7" w14:textId="77777777" w:rsidR="004E1E93" w:rsidRPr="00715097" w:rsidRDefault="004E1E93" w:rsidP="00024062">
            <w:pPr>
              <w:tabs>
                <w:tab w:val="right" w:pos="7254"/>
              </w:tabs>
              <w:spacing w:before="160" w:after="160"/>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715097">
              <w:rPr>
                <w:b/>
                <w:bCs/>
                <w:sz w:val="22"/>
                <w:szCs w:val="22"/>
              </w:rPr>
              <w:t>130</w:t>
            </w:r>
          </w:p>
        </w:tc>
        <w:tc>
          <w:tcPr>
            <w:tcW w:w="1984" w:type="dxa"/>
          </w:tcPr>
          <w:p w14:paraId="44F9D889" w14:textId="77777777" w:rsidR="004E1E93" w:rsidRPr="00715097" w:rsidRDefault="004E1E93" w:rsidP="00024062">
            <w:pPr>
              <w:tabs>
                <w:tab w:val="right" w:pos="7254"/>
              </w:tabs>
              <w:spacing w:before="160" w:after="160"/>
              <w:jc w:val="center"/>
              <w:cnfStyle w:val="000000000000" w:firstRow="0" w:lastRow="0" w:firstColumn="0" w:lastColumn="0" w:oddVBand="0" w:evenVBand="0" w:oddHBand="0" w:evenHBand="0" w:firstRowFirstColumn="0" w:firstRowLastColumn="0" w:lastRowFirstColumn="0" w:lastRowLastColumn="0"/>
              <w:rPr>
                <w:sz w:val="22"/>
                <w:szCs w:val="22"/>
              </w:rPr>
            </w:pPr>
            <w:r w:rsidRPr="00715097">
              <w:t>60 000</w:t>
            </w:r>
          </w:p>
        </w:tc>
      </w:tr>
      <w:tr w:rsidR="004E1E93" w:rsidRPr="00715097" w14:paraId="7BB0A90B" w14:textId="77777777" w:rsidTr="00024062">
        <w:trPr>
          <w:cnfStyle w:val="000000100000" w:firstRow="0" w:lastRow="0" w:firstColumn="0" w:lastColumn="0" w:oddVBand="0" w:evenVBand="0" w:oddHBand="1" w:evenHBand="0" w:firstRowFirstColumn="0" w:firstRowLastColumn="0" w:lastRowFirstColumn="0" w:lastRowLastColumn="0"/>
          <w:trHeight w:val="21"/>
          <w:jc w:val="center"/>
        </w:trPr>
        <w:tc>
          <w:tcPr>
            <w:cnfStyle w:val="001000000000" w:firstRow="0" w:lastRow="0" w:firstColumn="1" w:lastColumn="0" w:oddVBand="0" w:evenVBand="0" w:oddHBand="0" w:evenHBand="0" w:firstRowFirstColumn="0" w:firstRowLastColumn="0" w:lastRowFirstColumn="0" w:lastRowLastColumn="0"/>
            <w:tcW w:w="1558" w:type="dxa"/>
          </w:tcPr>
          <w:p w14:paraId="2EFC8AF7" w14:textId="77777777" w:rsidR="004E1E93" w:rsidRPr="00715097" w:rsidRDefault="004E1E93" w:rsidP="00024062">
            <w:pPr>
              <w:tabs>
                <w:tab w:val="right" w:pos="7254"/>
              </w:tabs>
              <w:spacing w:before="160" w:after="160"/>
              <w:jc w:val="center"/>
              <w:rPr>
                <w:i/>
                <w:iCs/>
                <w:color w:val="auto"/>
                <w:sz w:val="22"/>
                <w:szCs w:val="22"/>
              </w:rPr>
            </w:pPr>
            <w:r w:rsidRPr="00715097">
              <w:rPr>
                <w:i/>
                <w:iCs/>
                <w:sz w:val="22"/>
                <w:szCs w:val="22"/>
              </w:rPr>
              <w:t>Lot 3</w:t>
            </w:r>
          </w:p>
        </w:tc>
        <w:tc>
          <w:tcPr>
            <w:tcW w:w="5008" w:type="dxa"/>
          </w:tcPr>
          <w:p w14:paraId="296BFF6C" w14:textId="77777777" w:rsidR="004E1E93" w:rsidRPr="00715097" w:rsidRDefault="004E1E93" w:rsidP="00024062">
            <w:pPr>
              <w:pStyle w:val="xmsonormal"/>
              <w:cnfStyle w:val="000000100000" w:firstRow="0" w:lastRow="0" w:firstColumn="0" w:lastColumn="0" w:oddVBand="0" w:evenVBand="0" w:oddHBand="1" w:evenHBand="0" w:firstRowFirstColumn="0" w:firstRowLastColumn="0" w:lastRowFirstColumn="0" w:lastRowLastColumn="0"/>
              <w:rPr>
                <w:sz w:val="22"/>
                <w:szCs w:val="22"/>
                <w:lang w:val="fr-FR"/>
              </w:rPr>
            </w:pPr>
            <w:r w:rsidRPr="00715097">
              <w:rPr>
                <w:lang w:val="fr-FR"/>
              </w:rPr>
              <w:t>Gabès, Gafsa, Kébili, Médenine, Tataouine, Tozeur, Datacenter et Siège</w:t>
            </w:r>
          </w:p>
        </w:tc>
        <w:tc>
          <w:tcPr>
            <w:tcW w:w="1696" w:type="dxa"/>
          </w:tcPr>
          <w:p w14:paraId="2F3295F9" w14:textId="77777777" w:rsidR="004E1E93" w:rsidRPr="00715097" w:rsidRDefault="004E1E93" w:rsidP="00024062">
            <w:pPr>
              <w:tabs>
                <w:tab w:val="right" w:pos="7254"/>
              </w:tabs>
              <w:spacing w:before="160" w:after="160"/>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715097">
              <w:rPr>
                <w:b/>
                <w:bCs/>
                <w:sz w:val="22"/>
                <w:szCs w:val="22"/>
              </w:rPr>
              <w:t>89</w:t>
            </w:r>
          </w:p>
        </w:tc>
        <w:tc>
          <w:tcPr>
            <w:tcW w:w="1984" w:type="dxa"/>
          </w:tcPr>
          <w:p w14:paraId="42B02CBA" w14:textId="77777777" w:rsidR="004E1E93" w:rsidRPr="00715097" w:rsidRDefault="004E1E93" w:rsidP="00024062">
            <w:pPr>
              <w:tabs>
                <w:tab w:val="right" w:pos="7254"/>
              </w:tabs>
              <w:spacing w:before="160" w:after="160"/>
              <w:jc w:val="center"/>
              <w:cnfStyle w:val="000000100000" w:firstRow="0" w:lastRow="0" w:firstColumn="0" w:lastColumn="0" w:oddVBand="0" w:evenVBand="0" w:oddHBand="1" w:evenHBand="0" w:firstRowFirstColumn="0" w:firstRowLastColumn="0" w:lastRowFirstColumn="0" w:lastRowLastColumn="0"/>
              <w:rPr>
                <w:sz w:val="22"/>
                <w:szCs w:val="22"/>
              </w:rPr>
            </w:pPr>
            <w:r w:rsidRPr="00715097">
              <w:t>60 000</w:t>
            </w:r>
          </w:p>
        </w:tc>
      </w:tr>
      <w:tr w:rsidR="004E1E93" w:rsidRPr="00715097" w14:paraId="74EE33D9" w14:textId="77777777" w:rsidTr="00024062">
        <w:trPr>
          <w:trHeight w:val="21"/>
          <w:jc w:val="center"/>
        </w:trPr>
        <w:tc>
          <w:tcPr>
            <w:cnfStyle w:val="001000000000" w:firstRow="0" w:lastRow="0" w:firstColumn="1" w:lastColumn="0" w:oddVBand="0" w:evenVBand="0" w:oddHBand="0" w:evenHBand="0" w:firstRowFirstColumn="0" w:firstRowLastColumn="0" w:lastRowFirstColumn="0" w:lastRowLastColumn="0"/>
            <w:tcW w:w="1558" w:type="dxa"/>
          </w:tcPr>
          <w:p w14:paraId="43520428" w14:textId="77777777" w:rsidR="004E1E93" w:rsidRPr="00715097" w:rsidRDefault="004E1E93" w:rsidP="00024062">
            <w:pPr>
              <w:tabs>
                <w:tab w:val="right" w:pos="7254"/>
              </w:tabs>
              <w:spacing w:before="160" w:after="160"/>
              <w:jc w:val="center"/>
              <w:rPr>
                <w:i/>
                <w:iCs/>
                <w:color w:val="auto"/>
                <w:sz w:val="22"/>
                <w:szCs w:val="22"/>
              </w:rPr>
            </w:pPr>
            <w:r w:rsidRPr="00715097">
              <w:rPr>
                <w:i/>
                <w:iCs/>
                <w:sz w:val="22"/>
                <w:szCs w:val="22"/>
              </w:rPr>
              <w:t>Lot4</w:t>
            </w:r>
          </w:p>
        </w:tc>
        <w:tc>
          <w:tcPr>
            <w:tcW w:w="5008" w:type="dxa"/>
          </w:tcPr>
          <w:p w14:paraId="3C76416E" w14:textId="77777777" w:rsidR="004E1E93" w:rsidRPr="00715097" w:rsidRDefault="004E1E93" w:rsidP="00024062">
            <w:pPr>
              <w:pStyle w:val="xmsonormal"/>
              <w:cnfStyle w:val="000000000000" w:firstRow="0" w:lastRow="0" w:firstColumn="0" w:lastColumn="0" w:oddVBand="0" w:evenVBand="0" w:oddHBand="0" w:evenHBand="0" w:firstRowFirstColumn="0" w:firstRowLastColumn="0" w:lastRowFirstColumn="0" w:lastRowLastColumn="0"/>
              <w:rPr>
                <w:sz w:val="22"/>
                <w:szCs w:val="22"/>
                <w:lang w:val="fr-FR"/>
              </w:rPr>
            </w:pPr>
            <w:r w:rsidRPr="00715097">
              <w:rPr>
                <w:lang w:val="fr-FR"/>
              </w:rPr>
              <w:t>Kasserine, Sidi Bouzid, Sfax, Mahdia, Datacenter et Siège</w:t>
            </w:r>
          </w:p>
        </w:tc>
        <w:tc>
          <w:tcPr>
            <w:tcW w:w="1696" w:type="dxa"/>
          </w:tcPr>
          <w:p w14:paraId="1FB8FD11" w14:textId="77777777" w:rsidR="004E1E93" w:rsidRPr="00715097" w:rsidRDefault="004E1E93" w:rsidP="00024062">
            <w:pPr>
              <w:tabs>
                <w:tab w:val="right" w:pos="7254"/>
              </w:tabs>
              <w:spacing w:before="160" w:after="160"/>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715097">
              <w:rPr>
                <w:b/>
                <w:bCs/>
                <w:sz w:val="22"/>
                <w:szCs w:val="22"/>
              </w:rPr>
              <w:t>84</w:t>
            </w:r>
          </w:p>
        </w:tc>
        <w:tc>
          <w:tcPr>
            <w:tcW w:w="1984" w:type="dxa"/>
          </w:tcPr>
          <w:p w14:paraId="16D1426E" w14:textId="77777777" w:rsidR="004E1E93" w:rsidRPr="00715097" w:rsidRDefault="004E1E93" w:rsidP="00024062">
            <w:pPr>
              <w:tabs>
                <w:tab w:val="right" w:pos="7254"/>
              </w:tabs>
              <w:spacing w:before="160" w:after="160"/>
              <w:jc w:val="center"/>
              <w:cnfStyle w:val="000000000000" w:firstRow="0" w:lastRow="0" w:firstColumn="0" w:lastColumn="0" w:oddVBand="0" w:evenVBand="0" w:oddHBand="0" w:evenHBand="0" w:firstRowFirstColumn="0" w:firstRowLastColumn="0" w:lastRowFirstColumn="0" w:lastRowLastColumn="0"/>
              <w:rPr>
                <w:sz w:val="22"/>
                <w:szCs w:val="22"/>
              </w:rPr>
            </w:pPr>
            <w:r w:rsidRPr="00715097">
              <w:t>60 000</w:t>
            </w:r>
          </w:p>
        </w:tc>
      </w:tr>
    </w:tbl>
    <w:p w14:paraId="71480D61" w14:textId="77777777" w:rsidR="004E1E93" w:rsidRPr="00715097" w:rsidRDefault="004E1E93" w:rsidP="004E1E93">
      <w:pPr>
        <w:pStyle w:val="BankNormal"/>
        <w:suppressAutoHyphens/>
        <w:spacing w:after="60"/>
        <w:ind w:left="142" w:firstLine="0"/>
        <w:jc w:val="both"/>
        <w:rPr>
          <w:szCs w:val="24"/>
          <w:lang w:val="fr-FR"/>
        </w:rPr>
      </w:pPr>
    </w:p>
    <w:p w14:paraId="743644B0" w14:textId="77777777" w:rsidR="004E1E93" w:rsidRPr="00715097" w:rsidRDefault="004E1E93" w:rsidP="004E1E93">
      <w:pPr>
        <w:pStyle w:val="BankNormal"/>
        <w:numPr>
          <w:ilvl w:val="0"/>
          <w:numId w:val="1"/>
        </w:numPr>
        <w:suppressAutoHyphens/>
        <w:spacing w:after="60"/>
        <w:ind w:left="142" w:hanging="284"/>
        <w:jc w:val="both"/>
        <w:rPr>
          <w:lang w:val="fr-FR"/>
        </w:rPr>
      </w:pPr>
      <w:r w:rsidRPr="00715097">
        <w:rPr>
          <w:szCs w:val="24"/>
          <w:lang w:val="fr-FR"/>
        </w:rPr>
        <w:t xml:space="preserve">Veuillez noter que le Règlement de Passation des Marchés exige que l’Emprunteur divulgue les informations sur les </w:t>
      </w:r>
      <w:hyperlink r:id="rId9" w:history="1">
        <w:r w:rsidRPr="00715097">
          <w:rPr>
            <w:szCs w:val="24"/>
            <w:lang w:val="fr-FR"/>
          </w:rPr>
          <w:t>bénéficiaires effectifs</w:t>
        </w:r>
      </w:hyperlink>
      <w:r w:rsidRPr="00715097">
        <w:rPr>
          <w:szCs w:val="24"/>
          <w:lang w:val="fr-FR"/>
        </w:rPr>
        <w:t xml:space="preserve"> du Soumissionnaire attributaire, dans le cadre de la Notification d’Attribution de Marché, en renseignant le Formulaire de Divulgation </w:t>
      </w:r>
      <w:hyperlink r:id="rId10" w:history="1">
        <w:r w:rsidRPr="00715097">
          <w:rPr>
            <w:szCs w:val="24"/>
            <w:lang w:val="fr-FR"/>
          </w:rPr>
          <w:t>des Bénéficiaires Effectifs</w:t>
        </w:r>
      </w:hyperlink>
      <w:r w:rsidRPr="00715097">
        <w:rPr>
          <w:szCs w:val="24"/>
          <w:lang w:val="fr-FR"/>
        </w:rPr>
        <w:t xml:space="preserve"> inclus dans le dossier d’Appel d’Offres ».</w:t>
      </w:r>
    </w:p>
    <w:p w14:paraId="60F5F6EB" w14:textId="77777777" w:rsidR="004E1E93" w:rsidRPr="00715097" w:rsidRDefault="004E1E93" w:rsidP="004E1E93">
      <w:pPr>
        <w:pStyle w:val="BankNormal"/>
        <w:numPr>
          <w:ilvl w:val="0"/>
          <w:numId w:val="1"/>
        </w:numPr>
        <w:suppressAutoHyphens/>
        <w:spacing w:after="60"/>
        <w:ind w:left="-142" w:firstLine="0"/>
        <w:jc w:val="both"/>
        <w:rPr>
          <w:lang w:val="fr-FR"/>
        </w:rPr>
      </w:pPr>
      <w:r w:rsidRPr="00715097">
        <w:rPr>
          <w:szCs w:val="24"/>
          <w:lang w:val="fr-FR"/>
        </w:rPr>
        <w:t xml:space="preserve">L’(les) adresse(s) auxquelles il est fait référence ci-dessus est (sont) : </w:t>
      </w:r>
    </w:p>
    <w:p w14:paraId="570E6D43" w14:textId="77777777" w:rsidR="004E1E93" w:rsidRPr="00715097" w:rsidRDefault="004E1E93" w:rsidP="004E1E93">
      <w:pPr>
        <w:spacing w:after="0"/>
        <w:ind w:firstLine="275"/>
        <w:rPr>
          <w:i/>
          <w:iCs/>
          <w:szCs w:val="24"/>
        </w:rPr>
      </w:pPr>
      <w:r w:rsidRPr="00715097">
        <w:rPr>
          <w:b/>
          <w:bCs/>
          <w:i/>
          <w:iCs/>
          <w:szCs w:val="24"/>
        </w:rPr>
        <w:t xml:space="preserve">Le Ministère des Technologies de la Communication </w:t>
      </w:r>
    </w:p>
    <w:p w14:paraId="5F827FA6" w14:textId="77777777" w:rsidR="004E1E93" w:rsidRPr="00715097" w:rsidRDefault="004E1E93" w:rsidP="004E1E93">
      <w:pPr>
        <w:spacing w:after="0"/>
        <w:ind w:firstLine="275"/>
        <w:rPr>
          <w:i/>
          <w:iCs/>
          <w:szCs w:val="24"/>
        </w:rPr>
      </w:pPr>
      <w:r w:rsidRPr="00715097">
        <w:rPr>
          <w:b/>
          <w:bCs/>
          <w:i/>
          <w:iCs/>
          <w:szCs w:val="24"/>
        </w:rPr>
        <w:t xml:space="preserve">88, Avenue Mohamed V, 1002 </w:t>
      </w:r>
    </w:p>
    <w:p w14:paraId="2C67FB1E" w14:textId="77777777" w:rsidR="004E1E93" w:rsidRPr="00715097" w:rsidRDefault="004E1E93" w:rsidP="004E1E93">
      <w:pPr>
        <w:spacing w:after="0"/>
        <w:ind w:left="2552" w:hanging="1701"/>
        <w:rPr>
          <w:b/>
          <w:bCs/>
          <w:i/>
          <w:iCs/>
          <w:szCs w:val="24"/>
        </w:rPr>
      </w:pPr>
      <w:r w:rsidRPr="00715097">
        <w:rPr>
          <w:b/>
          <w:bCs/>
          <w:i/>
          <w:iCs/>
          <w:szCs w:val="24"/>
        </w:rPr>
        <w:t>A l’attention du coordinateur du Programme GovTech : Mr. Naoufel Bouzid</w:t>
      </w:r>
    </w:p>
    <w:p w14:paraId="01901387" w14:textId="2C197262" w:rsidR="00527AC3" w:rsidRDefault="004E1E93" w:rsidP="004E1E93">
      <w:r w:rsidRPr="00715097">
        <w:rPr>
          <w:b/>
          <w:bCs/>
          <w:i/>
          <w:iCs/>
          <w:szCs w:val="24"/>
        </w:rPr>
        <w:t>1ème étage, Bureau N°102</w:t>
      </w:r>
    </w:p>
    <w:sectPr w:rsidR="00527A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6322"/>
    <w:multiLevelType w:val="hybridMultilevel"/>
    <w:tmpl w:val="D428BCA8"/>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 w15:restartNumberingAfterBreak="0">
    <w:nsid w:val="6D63451D"/>
    <w:multiLevelType w:val="hybridMultilevel"/>
    <w:tmpl w:val="EDC8D39A"/>
    <w:lvl w:ilvl="0" w:tplc="651C5A48">
      <w:start w:val="1"/>
      <w:numFmt w:val="decimal"/>
      <w:lvlText w:val="%1."/>
      <w:lvlJc w:val="left"/>
      <w:pPr>
        <w:ind w:left="576" w:hanging="576"/>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502012857">
    <w:abstractNumId w:val="1"/>
  </w:num>
  <w:num w:numId="2" w16cid:durableId="1775401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E93"/>
    <w:rsid w:val="00194D0A"/>
    <w:rsid w:val="004E1E93"/>
    <w:rsid w:val="00527AC3"/>
    <w:rsid w:val="007374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5DEE"/>
  <w15:chartTrackingRefBased/>
  <w15:docId w15:val="{9D6A1FFA-E9F4-444D-9DF7-9A9EAA93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E93"/>
    <w:pPr>
      <w:spacing w:after="200" w:line="240" w:lineRule="auto"/>
      <w:ind w:left="576" w:hanging="576"/>
      <w:jc w:val="both"/>
    </w:pPr>
    <w:rPr>
      <w:rFonts w:ascii="Times New Roman" w:eastAsia="Times New Roman" w:hAnsi="Times New Roman" w:cs="Times New Roman"/>
      <w:kern w:val="0"/>
      <w:sz w:val="24"/>
      <w:szCs w:val="20"/>
      <w:lang w:eastAsia="fr-FR"/>
      <w14:ligatures w14:val="none"/>
    </w:rPr>
  </w:style>
  <w:style w:type="paragraph" w:styleId="Titre1">
    <w:name w:val="heading 1"/>
    <w:basedOn w:val="Normal"/>
    <w:next w:val="Normal"/>
    <w:link w:val="Titre1Car"/>
    <w:uiPriority w:val="9"/>
    <w:qFormat/>
    <w:rsid w:val="004E1E9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4E1E9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4E1E93"/>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4E1E93"/>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4E1E93"/>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4E1E9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E1E9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E1E9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E1E9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1E93"/>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4E1E93"/>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4E1E93"/>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4E1E93"/>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4E1E93"/>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4E1E9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E1E9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E1E9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E1E93"/>
    <w:rPr>
      <w:rFonts w:eastAsiaTheme="majorEastAsia" w:cstheme="majorBidi"/>
      <w:color w:val="272727" w:themeColor="text1" w:themeTint="D8"/>
    </w:rPr>
  </w:style>
  <w:style w:type="paragraph" w:styleId="Titre">
    <w:name w:val="Title"/>
    <w:basedOn w:val="Normal"/>
    <w:next w:val="Normal"/>
    <w:link w:val="TitreCar"/>
    <w:uiPriority w:val="10"/>
    <w:qFormat/>
    <w:rsid w:val="004E1E9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E1E9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E1E9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E1E9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E1E93"/>
    <w:pPr>
      <w:spacing w:before="160"/>
      <w:jc w:val="center"/>
    </w:pPr>
    <w:rPr>
      <w:i/>
      <w:iCs/>
      <w:color w:val="404040" w:themeColor="text1" w:themeTint="BF"/>
    </w:rPr>
  </w:style>
  <w:style w:type="character" w:customStyle="1" w:styleId="CitationCar">
    <w:name w:val="Citation Car"/>
    <w:basedOn w:val="Policepardfaut"/>
    <w:link w:val="Citation"/>
    <w:uiPriority w:val="29"/>
    <w:rsid w:val="004E1E93"/>
    <w:rPr>
      <w:i/>
      <w:iCs/>
      <w:color w:val="404040" w:themeColor="text1" w:themeTint="BF"/>
    </w:rPr>
  </w:style>
  <w:style w:type="paragraph" w:styleId="Paragraphedeliste">
    <w:name w:val="List Paragraph"/>
    <w:basedOn w:val="Normal"/>
    <w:uiPriority w:val="34"/>
    <w:qFormat/>
    <w:rsid w:val="004E1E93"/>
    <w:pPr>
      <w:ind w:left="720"/>
      <w:contextualSpacing/>
    </w:pPr>
  </w:style>
  <w:style w:type="character" w:styleId="Accentuationintense">
    <w:name w:val="Intense Emphasis"/>
    <w:basedOn w:val="Policepardfaut"/>
    <w:uiPriority w:val="21"/>
    <w:qFormat/>
    <w:rsid w:val="004E1E93"/>
    <w:rPr>
      <w:i/>
      <w:iCs/>
      <w:color w:val="2E74B5" w:themeColor="accent1" w:themeShade="BF"/>
    </w:rPr>
  </w:style>
  <w:style w:type="paragraph" w:styleId="Citationintense">
    <w:name w:val="Intense Quote"/>
    <w:basedOn w:val="Normal"/>
    <w:next w:val="Normal"/>
    <w:link w:val="CitationintenseCar"/>
    <w:uiPriority w:val="30"/>
    <w:qFormat/>
    <w:rsid w:val="004E1E9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4E1E93"/>
    <w:rPr>
      <w:i/>
      <w:iCs/>
      <w:color w:val="2E74B5" w:themeColor="accent1" w:themeShade="BF"/>
    </w:rPr>
  </w:style>
  <w:style w:type="character" w:styleId="Rfrenceintense">
    <w:name w:val="Intense Reference"/>
    <w:basedOn w:val="Policepardfaut"/>
    <w:uiPriority w:val="32"/>
    <w:qFormat/>
    <w:rsid w:val="004E1E93"/>
    <w:rPr>
      <w:b/>
      <w:bCs/>
      <w:smallCaps/>
      <w:color w:val="2E74B5" w:themeColor="accent1" w:themeShade="BF"/>
      <w:spacing w:val="5"/>
    </w:rPr>
  </w:style>
  <w:style w:type="character" w:styleId="Lienhypertexte">
    <w:name w:val="Hyperlink"/>
    <w:basedOn w:val="Policepardfaut"/>
    <w:uiPriority w:val="99"/>
    <w:rsid w:val="004E1E93"/>
    <w:rPr>
      <w:rFonts w:cs="Times New Roman"/>
      <w:color w:val="0000FF"/>
      <w:u w:val="single"/>
    </w:rPr>
  </w:style>
  <w:style w:type="paragraph" w:customStyle="1" w:styleId="BankNormal">
    <w:name w:val="BankNormal"/>
    <w:basedOn w:val="Normal"/>
    <w:link w:val="BankNormalChar"/>
    <w:rsid w:val="004E1E93"/>
    <w:pPr>
      <w:spacing w:after="240"/>
      <w:jc w:val="left"/>
    </w:pPr>
    <w:rPr>
      <w:lang w:val="en-US"/>
    </w:rPr>
  </w:style>
  <w:style w:type="paragraph" w:customStyle="1" w:styleId="xmsonormal">
    <w:name w:val="x_msonormal"/>
    <w:basedOn w:val="Normal"/>
    <w:rsid w:val="004E1E93"/>
    <w:pPr>
      <w:spacing w:before="100" w:beforeAutospacing="1" w:after="100" w:afterAutospacing="1"/>
      <w:ind w:left="0" w:firstLine="0"/>
      <w:jc w:val="left"/>
    </w:pPr>
    <w:rPr>
      <w:szCs w:val="24"/>
      <w:lang w:val="en-US" w:eastAsia="en-US"/>
    </w:rPr>
  </w:style>
  <w:style w:type="character" w:customStyle="1" w:styleId="BankNormalChar">
    <w:name w:val="BankNormal Char"/>
    <w:link w:val="BankNormal"/>
    <w:locked/>
    <w:rsid w:val="004E1E93"/>
    <w:rPr>
      <w:rFonts w:ascii="Times New Roman" w:eastAsia="Times New Roman" w:hAnsi="Times New Roman" w:cs="Times New Roman"/>
      <w:kern w:val="0"/>
      <w:sz w:val="24"/>
      <w:szCs w:val="20"/>
      <w:lang w:val="en-US" w:eastAsia="fr-FR"/>
      <w14:ligatures w14:val="none"/>
    </w:rPr>
  </w:style>
  <w:style w:type="table" w:styleId="TableauGrille5Fonc-Accentuation1">
    <w:name w:val="Grid Table 5 Dark Accent 1"/>
    <w:basedOn w:val="TableauNormal"/>
    <w:uiPriority w:val="50"/>
    <w:rsid w:val="004E1E93"/>
    <w:pPr>
      <w:spacing w:after="0" w:line="240" w:lineRule="auto"/>
      <w:ind w:left="576" w:hanging="576"/>
      <w:jc w:val="both"/>
    </w:pPr>
    <w:rPr>
      <w:rFonts w:ascii="Times New Roman" w:eastAsia="Times New Roman" w:hAnsi="Times New Roman" w:cs="Times New Roman"/>
      <w:kern w:val="0"/>
      <w:sz w:val="20"/>
      <w:szCs w:val="20"/>
      <w:lang w:eastAsia="fr-FR"/>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tc.gov.tn/index.php?id=28"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ugp@tunisia.gov.t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n.mas@tunisia.gov.tn" TargetMode="External"/><Relationship Id="rId11" Type="http://schemas.openxmlformats.org/officeDocument/2006/relationships/fontTable" Target="fontTable.xml"/><Relationship Id="rId5" Type="http://schemas.openxmlformats.org/officeDocument/2006/relationships/hyperlink" Target="http://www.legislation.tn/sites/default/files/codes/telecommunication.pdf" TargetMode="External"/><Relationship Id="rId15" Type="http://schemas.openxmlformats.org/officeDocument/2006/relationships/customXml" Target="../customXml/item3.xml"/><Relationship Id="rId10" Type="http://schemas.openxmlformats.org/officeDocument/2006/relationships/hyperlink" Target="http://context.reverso.net/traduction/francais-anglais/des+b%C3%A9n%C3%A9ficiaires+effectifs" TargetMode="External"/><Relationship Id="rId4" Type="http://schemas.openxmlformats.org/officeDocument/2006/relationships/webSettings" Target="webSettings.xml"/><Relationship Id="rId9" Type="http://schemas.openxmlformats.org/officeDocument/2006/relationships/hyperlink" Target="http://context.reverso.net/traduction/francais-anglais/des+b%C3%A9n%C3%A9ficiaires+effectifs" TargetMode="Externa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13709FC173174D81D30B2F85EA8D06" ma:contentTypeVersion="15" ma:contentTypeDescription="Crée un document." ma:contentTypeScope="" ma:versionID="31ea4d1b401df1adb4a98f3f4b469ab1">
  <xsd:schema xmlns:xsd="http://www.w3.org/2001/XMLSchema" xmlns:xs="http://www.w3.org/2001/XMLSchema" xmlns:p="http://schemas.microsoft.com/office/2006/metadata/properties" xmlns:ns2="88d60bb7-474c-464f-ab64-dfafba44fe6f" xmlns:ns3="96f8b8f2-9fcd-47d0-ab6b-bad47ab7dd3e" targetNamespace="http://schemas.microsoft.com/office/2006/metadata/properties" ma:root="true" ma:fieldsID="47ad61792700703aa6942179968b2eb8" ns2:_="" ns3:_="">
    <xsd:import namespace="88d60bb7-474c-464f-ab64-dfafba44fe6f"/>
    <xsd:import namespace="96f8b8f2-9fcd-47d0-ab6b-bad47ab7dd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60bb7-474c-464f-ab64-dfafba44f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ca3f874-69f3-4078-9038-f22993cecd4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f8b8f2-9fcd-47d0-ab6b-bad47ab7dd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1b00d0-e68f-4f80-b0b0-969bef6e74a5}" ma:internalName="TaxCatchAll" ma:showField="CatchAllData" ma:web="96f8b8f2-9fcd-47d0-ab6b-bad47ab7dd3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6f8b8f2-9fcd-47d0-ab6b-bad47ab7dd3e">
      <UserInfo>
        <DisplayName/>
        <AccountId xsi:nil="true"/>
        <AccountType/>
      </UserInfo>
    </SharedWithUsers>
    <lcf76f155ced4ddcb4097134ff3c332f xmlns="88d60bb7-474c-464f-ab64-dfafba44fe6f">
      <Terms xmlns="http://schemas.microsoft.com/office/infopath/2007/PartnerControls"/>
    </lcf76f155ced4ddcb4097134ff3c332f>
    <TaxCatchAll xmlns="96f8b8f2-9fcd-47d0-ab6b-bad47ab7dd3e" xsi:nil="true"/>
  </documentManagement>
</p:properties>
</file>

<file path=customXml/itemProps1.xml><?xml version="1.0" encoding="utf-8"?>
<ds:datastoreItem xmlns:ds="http://schemas.openxmlformats.org/officeDocument/2006/customXml" ds:itemID="{6EFECDDF-32DB-4326-A776-14F4A83C8667}"/>
</file>

<file path=customXml/itemProps2.xml><?xml version="1.0" encoding="utf-8"?>
<ds:datastoreItem xmlns:ds="http://schemas.openxmlformats.org/officeDocument/2006/customXml" ds:itemID="{ECF0C24B-E13E-4686-8C9E-64ACC8EA4269}"/>
</file>

<file path=customXml/itemProps3.xml><?xml version="1.0" encoding="utf-8"?>
<ds:datastoreItem xmlns:ds="http://schemas.openxmlformats.org/officeDocument/2006/customXml" ds:itemID="{08AADD0C-5595-464D-BB10-77A45D559843}"/>
</file>

<file path=docProps/app.xml><?xml version="1.0" encoding="utf-8"?>
<Properties xmlns="http://schemas.openxmlformats.org/officeDocument/2006/extended-properties" xmlns:vt="http://schemas.openxmlformats.org/officeDocument/2006/docPropsVTypes">
  <Template>Normal</Template>
  <TotalTime>59</TotalTime>
  <Pages>3</Pages>
  <Words>954</Words>
  <Characters>5473</Characters>
  <DocSecurity>0</DocSecurity>
  <Lines>80</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2026-06-10T13:35:00Z</dcterms:created>
  <dcterms:modified xsi:type="dcterms:W3CDTF">2026-06-11T11:02:00Z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29400</vt:r8>
  </property>
  <property fmtid="{D5CDD505-2E9C-101B-9397-08002B2CF9AE}" pid="3" name="ContentTypeId">
    <vt:lpwstr>0x010100A213709FC173174D81D30B2F85EA8D06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